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auto" w:w="100"/>
        <w:tblBorders>
          <w:top w:val="none"/>
          <w:left w:val="none"/>
          <w:bottom w:val="none"/>
          <w:right w:val="none"/>
          <w:insideH w:val="none"/>
          <w:insideV w:val="none"/>
        </w:tblBorders>
      </w:tblPr>
      <w:tblGrid>
        <w:gridCol w:w="9360"/>
      </w:tblGrid>
      <w:tr>
        <w:tc>
          <w:tcPr>
            <w:tcW w:type="dxa" w:w="9360"/>
            <w:shd w:fill="4F0A85" w:val="clear"/>
            <w:tcMar>
              <w:top w:type="dxa" w:w="340"/>
              <w:left w:type="dxa" w:w="340"/>
              <w:bottom w:type="dxa" w:w="340"/>
              <w:right w:type="dxa" w:w="340"/>
            </w:tcMar>
          </w:tcPr>
          <w:p>
            <w:pPr>
              <w:spacing w:after="90"/>
            </w:pPr>
            <w:r>
              <w:rPr>
                <w:rFonts w:ascii="Calibri" w:cs="Calibri" w:eastAsia="Calibri" w:hAnsi="Calibri"/>
                <w:b/>
                <w:bCs/>
                <w:caps/>
                <w:color w:val="F2931A"/>
                <w:spacing w:val="50"/>
                <w:sz w:val="17"/>
                <w:szCs w:val="17"/>
              </w:rPr>
              <w:t xml:space="preserve">LDTC 605 · Unit 5 · Rapid Instructional Design</w:t>
            </w:r>
          </w:p>
          <w:p>
            <w:pPr>
              <w:spacing w:after="110"/>
            </w:pPr>
            <w:r>
              <w:rPr>
                <w:rFonts w:ascii="Georgia" w:cs="Georgia" w:eastAsia="Georgia" w:hAnsi="Georgia"/>
                <w:b/>
                <w:bCs/>
                <w:color w:val="FFFFFF"/>
                <w:sz w:val="42"/>
                <w:szCs w:val="42"/>
              </w:rPr>
              <w:t xml:space="preserve">Learning Activities and Reflection</w:t>
            </w:r>
          </w:p>
          <w:p>
            <w:pPr>
              <w:spacing w:after="0"/>
            </w:pPr>
            <w:r>
              <w:rPr>
                <w:rFonts w:ascii="Calibri" w:cs="Calibri" w:eastAsia="Calibri" w:hAnsi="Calibri"/>
                <w:color w:val="E4CFF7"/>
                <w:sz w:val="19"/>
                <w:szCs w:val="19"/>
              </w:rPr>
              <w:t xml:space="preserve">Tenneh C. Freeman · Learning Design &amp; Technology · University of Maryland Global Campus</w:t>
            </w:r>
          </w:p>
        </w:tc>
      </w:tr>
    </w:tbl>
    <w:p>
      <w:pPr>
        <w:spacing w:after="240"/>
      </w:pPr>
    </w:p>
    <w:p>
      <w:pPr>
        <w:pStyle w:val="Heading1"/>
        <w:spacing w:after="140" w:before="320"/>
      </w:pPr>
      <w:r>
        <w:rPr>
          <w:rFonts w:ascii="Georgia" w:cs="Georgia" w:eastAsia="Georgia" w:hAnsi="Georgia"/>
          <w:b/>
          <w:bCs/>
          <w:color w:val="4F0A85"/>
          <w:sz w:val="30"/>
          <w:szCs w:val="30"/>
        </w:rPr>
        <w:t xml:space="preserve">Minicourse Context</w:t>
      </w:r>
    </w:p>
    <w:p>
      <w:pPr>
        <w:spacing w:after="120" w:line="276"/>
        <w:jc w:val="both"/>
      </w:pPr>
      <w:r>
        <w:rPr>
          <w:rFonts w:ascii="Calibri" w:cs="Calibri" w:eastAsia="Calibri" w:hAnsi="Calibri"/>
          <w:color w:val="2B2B2B"/>
          <w:sz w:val="21"/>
          <w:szCs w:val="21"/>
        </w:rPr>
        <w:t xml:space="preserve">Decoding the Code is a self-paced professional development minicourse for Grades 6–12 content-area teachers. It shows science, math, social studies, and English teachers how to recognize and support students with dyslexia and other reading difficulties by putting structured-literacy principles to work inside their own classrooms.</w:t>
      </w:r>
    </w:p>
    <w:p>
      <w:pPr>
        <w:spacing w:after="120" w:line="276"/>
        <w:jc w:val="both"/>
      </w:pPr>
      <w:r>
        <w:rPr>
          <w:rFonts w:ascii="Calibri" w:cs="Calibri" w:eastAsia="Calibri" w:hAnsi="Calibri"/>
          <w:color w:val="2B2B2B"/>
          <w:sz w:val="21"/>
          <w:szCs w:val="21"/>
        </w:rPr>
        <w:t xml:space="preserve">The six activities below close the learning gap named in my Instructional Design Document: secondary content teachers meet struggling readers every day but were never trained in how reading actually works. They can tell that a student is stuck. They cannot tell where. Each activity is written to land on one course learning outcome and reinforce another, so the course builds rather than lists.</w:t>
      </w:r>
    </w:p>
    <w:p>
      <w:pPr>
        <w:spacing w:after="120" w:line="276"/>
        <w:jc w:val="both"/>
      </w:pPr>
      <w:r>
        <w:rPr>
          <w:rFonts w:ascii="Calibri" w:cs="Calibri" w:eastAsia="Calibri" w:hAnsi="Calibri"/>
          <w:color w:val="2B2B2B"/>
          <w:sz w:val="21"/>
          <w:szCs w:val="21"/>
        </w:rPr>
        <w:t xml:space="preserve">I used Rapid Instructional Design (Piskurich, 2015) to move from this gap to a working product without waiting for a finished design document. Activity 1 is no longer a description — it is a built, playable prototype, and what I learned from building it changed how I wrote the other five.</w:t>
      </w:r>
    </w:p>
    <w:p>
      <w:pPr>
        <w:pStyle w:val="Heading1"/>
        <w:spacing w:after="140" w:before="320"/>
      </w:pPr>
      <w:r>
        <w:rPr>
          <w:rFonts w:ascii="Georgia" w:cs="Georgia" w:eastAsia="Georgia" w:hAnsi="Georgia"/>
          <w:b/>
          <w:bCs/>
          <w:color w:val="4F0A85"/>
          <w:sz w:val="30"/>
          <w:szCs w:val="30"/>
        </w:rPr>
        <w:t xml:space="preserve">Course Learning Outcomes</w:t>
      </w:r>
    </w:p>
    <w:p>
      <w:pPr>
        <w:spacing w:after="120" w:line="276"/>
        <w:jc w:val="both"/>
      </w:pPr>
      <w:r>
        <w:rPr>
          <w:rFonts w:ascii="Calibri" w:cs="Calibri" w:eastAsia="Calibri" w:hAnsi="Calibri"/>
          <w:color w:val="2B2B2B"/>
          <w:sz w:val="21"/>
          <w:szCs w:val="21"/>
        </w:rPr>
        <w:t xml:space="preserve">By the end of Decoding the Code, learners (Grades 6–12 content-area teachers) will be able to:</w:t>
      </w:r>
    </w:p>
    <w:p>
      <w:pPr>
        <w:pStyle w:val="ListParagraph"/>
        <w:numPr>
          <w:ilvl w:val="0"/>
          <w:numId w:val="1"/>
        </w:numPr>
        <w:spacing w:after="80" w:line="276"/>
      </w:pPr>
      <w:r>
        <w:rPr>
          <w:rFonts w:ascii="Calibri" w:cs="Calibri" w:eastAsia="Calibri" w:hAnsi="Calibri"/>
          <w:color w:val="2B2B2B"/>
          <w:sz w:val="21"/>
          <w:szCs w:val="21"/>
        </w:rPr>
        <w:t xml:space="preserve">CLO 1 — Identify the six components of structured literacy: phonology, sound–symbol association, syllable instruction, morphology, syntax, and semantics.</w:t>
      </w:r>
    </w:p>
    <w:p>
      <w:pPr>
        <w:pStyle w:val="ListParagraph"/>
        <w:numPr>
          <w:ilvl w:val="0"/>
          <w:numId w:val="1"/>
        </w:numPr>
        <w:spacing w:after="80" w:line="276"/>
      </w:pPr>
      <w:r>
        <w:rPr>
          <w:rFonts w:ascii="Calibri" w:cs="Calibri" w:eastAsia="Calibri" w:hAnsi="Calibri"/>
          <w:color w:val="2B2B2B"/>
          <w:sz w:val="21"/>
          <w:szCs w:val="21"/>
        </w:rPr>
        <w:t xml:space="preserve">CLO 2 — Analyze student work to determine whether a reading breakdown is decoding, fluency, or comprehension.</w:t>
      </w:r>
    </w:p>
    <w:p>
      <w:pPr>
        <w:pStyle w:val="ListParagraph"/>
        <w:numPr>
          <w:ilvl w:val="0"/>
          <w:numId w:val="1"/>
        </w:numPr>
        <w:spacing w:after="80" w:line="276"/>
      </w:pPr>
      <w:r>
        <w:rPr>
          <w:rFonts w:ascii="Calibri" w:cs="Calibri" w:eastAsia="Calibri" w:hAnsi="Calibri"/>
          <w:color w:val="2B2B2B"/>
          <w:sz w:val="21"/>
          <w:szCs w:val="21"/>
        </w:rPr>
        <w:t xml:space="preserve">CLO 3 — Apply morphology to vocabulary instruction in their own content area.</w:t>
      </w:r>
    </w:p>
    <w:p>
      <w:pPr>
        <w:pStyle w:val="ListParagraph"/>
        <w:numPr>
          <w:ilvl w:val="0"/>
          <w:numId w:val="1"/>
        </w:numPr>
        <w:spacing w:after="80" w:line="276"/>
      </w:pPr>
      <w:r>
        <w:rPr>
          <w:rFonts w:ascii="Calibri" w:cs="Calibri" w:eastAsia="Calibri" w:hAnsi="Calibri"/>
          <w:color w:val="2B2B2B"/>
          <w:sz w:val="21"/>
          <w:szCs w:val="21"/>
        </w:rPr>
        <w:t xml:space="preserve">CLO 4 — Design a literacy-embedded lesson component that does not lower the rigor of grade-level content.</w:t>
      </w:r>
    </w:p>
    <w:p>
      <w:pPr>
        <w:pStyle w:val="ListParagraph"/>
        <w:numPr>
          <w:ilvl w:val="0"/>
          <w:numId w:val="1"/>
        </w:numPr>
        <w:spacing w:after="80" w:line="276"/>
      </w:pPr>
      <w:r>
        <w:rPr>
          <w:rFonts w:ascii="Calibri" w:cs="Calibri" w:eastAsia="Calibri" w:hAnsi="Calibri"/>
          <w:color w:val="2B2B2B"/>
          <w:sz w:val="21"/>
          <w:szCs w:val="21"/>
        </w:rPr>
        <w:t xml:space="preserve">CLO 5 — Select assistive technologies and accommodations appropriate to a specific learner profile.</w:t>
      </w:r>
    </w:p>
    <w:p>
      <w:pPr>
        <w:pStyle w:val="ListParagraph"/>
        <w:numPr>
          <w:ilvl w:val="0"/>
          <w:numId w:val="1"/>
        </w:numPr>
        <w:spacing w:after="80" w:line="276"/>
      </w:pPr>
      <w:r>
        <w:rPr>
          <w:rFonts w:ascii="Calibri" w:cs="Calibri" w:eastAsia="Calibri" w:hAnsi="Calibri"/>
          <w:color w:val="2B2B2B"/>
          <w:sz w:val="21"/>
          <w:szCs w:val="21"/>
        </w:rPr>
        <w:t xml:space="preserve">CLO 6 — Evaluate their own instruction against structured-literacy practice and set one measurable goal.</w:t>
      </w:r>
    </w:p>
    <w:p>
      <w:pPr>
        <w:pStyle w:val="Heading1"/>
        <w:spacing w:after="140" w:before="320"/>
      </w:pPr>
      <w:r>
        <w:rPr>
          <w:rFonts w:ascii="Georgia" w:cs="Georgia" w:eastAsia="Georgia" w:hAnsi="Georgia"/>
          <w:b/>
          <w:bCs/>
          <w:color w:val="4F0A85"/>
          <w:sz w:val="30"/>
          <w:szCs w:val="30"/>
        </w:rPr>
        <w:t xml:space="preserve">Learning Activities</w:t>
      </w:r>
    </w:p>
    <w:p>
      <w:pPr>
        <w:spacing w:after="120" w:line="276"/>
        <w:jc w:val="both"/>
      </w:pPr>
      <w:r>
        <w:rPr>
          <w:rFonts w:ascii="Calibri" w:cs="Calibri" w:eastAsia="Calibri" w:hAnsi="Calibri"/>
          <w:color w:val="2B2B2B"/>
          <w:sz w:val="21"/>
          <w:szCs w:val="21"/>
        </w:rPr>
        <w:t xml:space="preserve">Each activity is tagged to the CLO it carries. Activities 4 and 6 also draw on outcomes built earlier, so the course compounds instead of resetting.</w:t>
      </w:r>
    </w:p>
    <w:p>
      <w:pPr>
        <w:spacing w:after="40" w:before="200"/>
      </w:pPr>
      <w:r>
        <w:rPr>
          <w:rFonts w:ascii="Calibri" w:cs="Calibri" w:eastAsia="Calibri" w:hAnsi="Calibri"/>
          <w:b/>
          <w:bCs/>
          <w:caps/>
          <w:color w:val="C87A0E"/>
          <w:spacing w:val="40"/>
          <w:sz w:val="16"/>
          <w:szCs w:val="16"/>
        </w:rPr>
        <w:t xml:space="preserve">ACTIVITY 01</w:t>
      </w:r>
      <w:r>
        <w:rPr>
          <w:rFonts w:ascii="Calibri" w:cs="Calibri" w:eastAsia="Calibri" w:hAnsi="Calibri"/>
          <w:b/>
          <w:bCs/>
          <w:caps/>
          <w:color w:val="4F0A85"/>
          <w:spacing w:val="40"/>
          <w:sz w:val="16"/>
          <w:szCs w:val="16"/>
        </w:rPr>
        <w:t xml:space="preserve">     CLO 1</w:t>
      </w:r>
    </w:p>
    <w:p>
      <w:pPr>
        <w:spacing w:after="70"/>
      </w:pPr>
      <w:r>
        <w:rPr>
          <w:rFonts w:ascii="Georgia" w:cs="Georgia" w:eastAsia="Georgia" w:hAnsi="Georgia"/>
          <w:b/>
          <w:bCs/>
          <w:color w:val="33065A"/>
          <w:sz w:val="23"/>
          <w:szCs w:val="23"/>
        </w:rPr>
        <w:t xml:space="preserve">Escape the 6: Six Components of Structured Literacy</w:t>
      </w:r>
    </w:p>
    <w:p>
      <w:pPr>
        <w:spacing w:after="120" w:line="276"/>
        <w:jc w:val="both"/>
      </w:pPr>
      <w:r>
        <w:rPr>
          <w:rFonts w:ascii="Calibri" w:cs="Calibri" w:eastAsia="Calibri" w:hAnsi="Calibri"/>
          <w:color w:val="2B2B2B"/>
          <w:sz w:val="21"/>
          <w:szCs w:val="21"/>
        </w:rPr>
        <w:t xml:space="preserve">Short explainer segments introduce the six components of structured literacy — phonology, sound–symbol association, syllable instruction, morphology, syntax, and semantics — and the tell that gives each one away. Teachers then enter a timed escape room where six locks each hold a piece of real student evidence; naming the component behind the breakdown is what opens the lock. A wrong call does not end the run: the lock holds, a guided hint arrives, and the teacher tries again. This builds the shared vocabulary every later activity depends on. Built as a working prototype.</w:t>
      </w:r>
    </w:p>
    <w:p>
      <w:pPr>
        <w:spacing w:after="40" w:before="200"/>
      </w:pPr>
      <w:r>
        <w:rPr>
          <w:rFonts w:ascii="Calibri" w:cs="Calibri" w:eastAsia="Calibri" w:hAnsi="Calibri"/>
          <w:b/>
          <w:bCs/>
          <w:caps/>
          <w:color w:val="C87A0E"/>
          <w:spacing w:val="40"/>
          <w:sz w:val="16"/>
          <w:szCs w:val="16"/>
        </w:rPr>
        <w:t xml:space="preserve">ACTIVITY 02</w:t>
      </w:r>
      <w:r>
        <w:rPr>
          <w:rFonts w:ascii="Calibri" w:cs="Calibri" w:eastAsia="Calibri" w:hAnsi="Calibri"/>
          <w:b/>
          <w:bCs/>
          <w:caps/>
          <w:color w:val="4F0A85"/>
          <w:spacing w:val="40"/>
          <w:sz w:val="16"/>
          <w:szCs w:val="16"/>
        </w:rPr>
        <w:t xml:space="preserve">     CLO 2</w:t>
      </w:r>
    </w:p>
    <w:p>
      <w:pPr>
        <w:spacing w:after="70"/>
      </w:pPr>
      <w:r>
        <w:rPr>
          <w:rFonts w:ascii="Georgia" w:cs="Georgia" w:eastAsia="Georgia" w:hAnsi="Georgia"/>
          <w:b/>
          <w:bCs/>
          <w:color w:val="33065A"/>
          <w:sz w:val="23"/>
          <w:szCs w:val="23"/>
        </w:rPr>
        <w:t xml:space="preserve">Readers of the Ark: Diagnostic Lab</w:t>
      </w:r>
    </w:p>
    <w:p>
      <w:pPr>
        <w:spacing w:after="120" w:line="276"/>
        <w:jc w:val="both"/>
      </w:pPr>
      <w:r>
        <w:rPr>
          <w:rFonts w:ascii="Calibri" w:cs="Calibri" w:eastAsia="Calibri" w:hAnsi="Calibri"/>
          <w:color w:val="2B2B2B"/>
          <w:sz w:val="21"/>
          <w:szCs w:val="21"/>
        </w:rPr>
        <w:t xml:space="preserve">Teachers work through de-identified samples of adolescent reading and writing and decide whether the breakdown is decoding, fluency, or comprehension. Each choice opens a short feedback branch that explains what the evidence shows. Teachers are enabled to spot where a reader is actually stuck instead of guessing.</w:t>
      </w:r>
    </w:p>
    <w:p>
      <w:pPr>
        <w:spacing w:after="40" w:before="200"/>
      </w:pPr>
      <w:r>
        <w:rPr>
          <w:rFonts w:ascii="Calibri" w:cs="Calibri" w:eastAsia="Calibri" w:hAnsi="Calibri"/>
          <w:b/>
          <w:bCs/>
          <w:caps/>
          <w:color w:val="C87A0E"/>
          <w:spacing w:val="40"/>
          <w:sz w:val="16"/>
          <w:szCs w:val="16"/>
        </w:rPr>
        <w:t xml:space="preserve">ACTIVITY 03</w:t>
      </w:r>
      <w:r>
        <w:rPr>
          <w:rFonts w:ascii="Calibri" w:cs="Calibri" w:eastAsia="Calibri" w:hAnsi="Calibri"/>
          <w:b/>
          <w:bCs/>
          <w:caps/>
          <w:color w:val="4F0A85"/>
          <w:spacing w:val="40"/>
          <w:sz w:val="16"/>
          <w:szCs w:val="16"/>
        </w:rPr>
        <w:t xml:space="preserve">     CLO 3</w:t>
      </w:r>
    </w:p>
    <w:p>
      <w:pPr>
        <w:spacing w:after="70"/>
      </w:pPr>
      <w:r>
        <w:rPr>
          <w:rFonts w:ascii="Georgia" w:cs="Georgia" w:eastAsia="Georgia" w:hAnsi="Georgia"/>
          <w:b/>
          <w:bCs/>
          <w:color w:val="33065A"/>
          <w:sz w:val="23"/>
          <w:szCs w:val="23"/>
        </w:rPr>
        <w:t xml:space="preserve">Area Code: Morphology in My Subject Area</w:t>
      </w:r>
    </w:p>
    <w:p>
      <w:pPr>
        <w:spacing w:after="120" w:line="276"/>
        <w:jc w:val="both"/>
      </w:pPr>
      <w:r>
        <w:rPr>
          <w:rFonts w:ascii="Calibri" w:cs="Calibri" w:eastAsia="Calibri" w:hAnsi="Calibri"/>
          <w:color w:val="2B2B2B"/>
          <w:sz w:val="21"/>
          <w:szCs w:val="21"/>
        </w:rPr>
        <w:t xml:space="preserve">Each teacher pulls five to eight academic terms from their own content area and breaks them into roots, prefixes, and suffixes. They then draft a short word-study routine they could run in their own class next week. The activity turns morphology from a reading-teacher idea into a content-area vocabulary tool.</w:t>
      </w:r>
    </w:p>
    <w:p>
      <w:pPr>
        <w:spacing w:after="40" w:before="200"/>
      </w:pPr>
      <w:r>
        <w:rPr>
          <w:rFonts w:ascii="Calibri" w:cs="Calibri" w:eastAsia="Calibri" w:hAnsi="Calibri"/>
          <w:b/>
          <w:bCs/>
          <w:caps/>
          <w:color w:val="C87A0E"/>
          <w:spacing w:val="40"/>
          <w:sz w:val="16"/>
          <w:szCs w:val="16"/>
        </w:rPr>
        <w:t xml:space="preserve">ACTIVITY 04</w:t>
      </w:r>
      <w:r>
        <w:rPr>
          <w:rFonts w:ascii="Calibri" w:cs="Calibri" w:eastAsia="Calibri" w:hAnsi="Calibri"/>
          <w:b/>
          <w:bCs/>
          <w:caps/>
          <w:color w:val="4F0A85"/>
          <w:spacing w:val="40"/>
          <w:sz w:val="16"/>
          <w:szCs w:val="16"/>
        </w:rPr>
        <w:t xml:space="preserve">     CLO 4 · DRAWS ON CLO 1, 3</w:t>
      </w:r>
    </w:p>
    <w:p>
      <w:pPr>
        <w:spacing w:after="70"/>
      </w:pPr>
      <w:r>
        <w:rPr>
          <w:rFonts w:ascii="Georgia" w:cs="Georgia" w:eastAsia="Georgia" w:hAnsi="Georgia"/>
          <w:b/>
          <w:bCs/>
          <w:color w:val="33065A"/>
          <w:sz w:val="23"/>
          <w:szCs w:val="23"/>
        </w:rPr>
        <w:t xml:space="preserve">Lit Bit: Literacy-Embedded Lesson Build</w:t>
      </w:r>
    </w:p>
    <w:p>
      <w:pPr>
        <w:spacing w:after="120" w:line="276"/>
        <w:jc w:val="both"/>
      </w:pPr>
      <w:r>
        <w:rPr>
          <w:rFonts w:ascii="Calibri" w:cs="Calibri" w:eastAsia="Calibri" w:hAnsi="Calibri"/>
          <w:color w:val="2B2B2B"/>
          <w:sz w:val="21"/>
          <w:szCs w:val="21"/>
        </w:rPr>
        <w:t xml:space="preserve">Working from a template and a worked example, teachers design one lesson component that carries explicit, multisensory literacy support without lowering the rigor of the content. This is the course's culminating artifact — proof a teacher can build the thing, not just name it. It is the performance task the whole course points toward.</w:t>
      </w:r>
    </w:p>
    <w:p>
      <w:pPr>
        <w:spacing w:after="40" w:before="200"/>
      </w:pPr>
      <w:r>
        <w:rPr>
          <w:rFonts w:ascii="Calibri" w:cs="Calibri" w:eastAsia="Calibri" w:hAnsi="Calibri"/>
          <w:b/>
          <w:bCs/>
          <w:caps/>
          <w:color w:val="C87A0E"/>
          <w:spacing w:val="40"/>
          <w:sz w:val="16"/>
          <w:szCs w:val="16"/>
        </w:rPr>
        <w:t xml:space="preserve">ACTIVITY 05</w:t>
      </w:r>
      <w:r>
        <w:rPr>
          <w:rFonts w:ascii="Calibri" w:cs="Calibri" w:eastAsia="Calibri" w:hAnsi="Calibri"/>
          <w:b/>
          <w:bCs/>
          <w:caps/>
          <w:color w:val="4F0A85"/>
          <w:spacing w:val="40"/>
          <w:sz w:val="16"/>
          <w:szCs w:val="16"/>
        </w:rPr>
        <w:t xml:space="preserve">     CLO 5</w:t>
      </w:r>
    </w:p>
    <w:p>
      <w:pPr>
        <w:spacing w:after="70"/>
      </w:pPr>
      <w:r>
        <w:rPr>
          <w:rFonts w:ascii="Georgia" w:cs="Georgia" w:eastAsia="Georgia" w:hAnsi="Georgia"/>
          <w:b/>
          <w:bCs/>
          <w:color w:val="33065A"/>
          <w:sz w:val="23"/>
          <w:szCs w:val="23"/>
        </w:rPr>
        <w:t xml:space="preserve">Tech Elect: Assistive Tech Match</w:t>
      </w:r>
    </w:p>
    <w:p>
      <w:pPr>
        <w:spacing w:after="120" w:line="276"/>
        <w:jc w:val="both"/>
      </w:pPr>
      <w:r>
        <w:rPr>
          <w:rFonts w:ascii="Calibri" w:cs="Calibri" w:eastAsia="Calibri" w:hAnsi="Calibri"/>
          <w:color w:val="2B2B2B"/>
          <w:sz w:val="21"/>
          <w:szCs w:val="21"/>
        </w:rPr>
        <w:t xml:space="preserve">Teachers move through three student profiles and match assistive technologies and accommodations — text-to-speech, decodable digital text, specialized fonts, audio scaffolds — to each learner's specific need. The activity is a case-based decision path with feedback at each fork. It keeps tool choice tied to a real student rather than a generic checklist.</w:t>
      </w:r>
    </w:p>
    <w:p>
      <w:pPr>
        <w:spacing w:after="40" w:before="200"/>
      </w:pPr>
      <w:r>
        <w:rPr>
          <w:rFonts w:ascii="Calibri" w:cs="Calibri" w:eastAsia="Calibri" w:hAnsi="Calibri"/>
          <w:b/>
          <w:bCs/>
          <w:caps/>
          <w:color w:val="C87A0E"/>
          <w:spacing w:val="40"/>
          <w:sz w:val="16"/>
          <w:szCs w:val="16"/>
        </w:rPr>
        <w:t xml:space="preserve">ACTIVITY 06</w:t>
      </w:r>
      <w:r>
        <w:rPr>
          <w:rFonts w:ascii="Calibri" w:cs="Calibri" w:eastAsia="Calibri" w:hAnsi="Calibri"/>
          <w:b/>
          <w:bCs/>
          <w:caps/>
          <w:color w:val="4F0A85"/>
          <w:spacing w:val="40"/>
          <w:sz w:val="16"/>
          <w:szCs w:val="16"/>
        </w:rPr>
        <w:t xml:space="preserve">     CLO 6 · DRAWS ON CLO 2</w:t>
      </w:r>
    </w:p>
    <w:p>
      <w:pPr>
        <w:spacing w:after="70"/>
      </w:pPr>
      <w:r>
        <w:rPr>
          <w:rFonts w:ascii="Georgia" w:cs="Georgia" w:eastAsia="Georgia" w:hAnsi="Georgia"/>
          <w:b/>
          <w:bCs/>
          <w:color w:val="33065A"/>
          <w:sz w:val="23"/>
          <w:szCs w:val="23"/>
        </w:rPr>
        <w:t xml:space="preserve">Self-Audit and One Goal</w:t>
      </w:r>
    </w:p>
    <w:p>
      <w:pPr>
        <w:spacing w:after="120" w:line="276"/>
        <w:jc w:val="both"/>
      </w:pPr>
      <w:r>
        <w:rPr>
          <w:rFonts w:ascii="Calibri" w:cs="Calibri" w:eastAsia="Calibri" w:hAnsi="Calibri"/>
          <w:color w:val="2B2B2B"/>
          <w:sz w:val="21"/>
          <w:szCs w:val="21"/>
        </w:rPr>
        <w:t xml:space="preserve">Teachers use a structured-literacy self-audit checklist to look honestly at their own instruction, then set one measurable classroom goal. The activity connects to the three learner tracks — Marcus sets a foundation goal, Rosa a framework goal, David an intervention goal. It closes the course on the teacher's own next step, not mine.</w:t>
      </w:r>
    </w:p>
    <w:p>
      <w:r>
        <w:br w:type="page"/>
      </w:r>
    </w:p>
    <w:p>
      <w:pPr>
        <w:pStyle w:val="Heading1"/>
        <w:spacing w:after="140" w:before="320"/>
      </w:pPr>
      <w:r>
        <w:rPr>
          <w:rFonts w:ascii="Georgia" w:cs="Georgia" w:eastAsia="Georgia" w:hAnsi="Georgia"/>
          <w:b/>
          <w:bCs/>
          <w:color w:val="4F0A85"/>
          <w:sz w:val="30"/>
          <w:szCs w:val="30"/>
        </w:rPr>
        <w:t xml:space="preserve">Activity–Outcome Alignment</w:t>
      </w:r>
    </w:p>
    <w:p>
      <w:pPr>
        <w:spacing w:after="120" w:line="276"/>
        <w:jc w:val="both"/>
      </w:pPr>
      <w:r>
        <w:rPr>
          <w:rFonts w:ascii="Calibri" w:cs="Calibri" w:eastAsia="Calibri" w:hAnsi="Calibri"/>
          <w:color w:val="2B2B2B"/>
          <w:sz w:val="21"/>
          <w:szCs w:val="21"/>
        </w:rPr>
        <w:t xml:space="preserve">Alignment is only real if it is measurable. The table below names, for each activity, what the teacher actually produces and how that product proves the outcome was reached.</w:t>
      </w:r>
    </w:p>
    <w:tbl>
      <w:tblPr>
        <w:tblW w:type="auto" w:w="100"/>
        <w:tblBorders>
          <w:top w:val="single" w:color="E4D8C7" w:sz="2"/>
          <w:left w:val="single" w:color="E4D8C7" w:sz="2"/>
          <w:bottom w:val="single" w:color="E4D8C7" w:sz="2"/>
          <w:right w:val="single" w:color="E4D8C7" w:sz="2"/>
          <w:insideH w:val="single" w:color="E4D8C7" w:sz="2"/>
          <w:insideV w:val="single" w:color="E4D8C7" w:sz="2"/>
        </w:tblBorders>
      </w:tblPr>
      <w:tblGrid>
        <w:gridCol w:w="2500"/>
        <w:gridCol w:w="800"/>
        <w:gridCol w:w="3050"/>
        <w:gridCol w:w="3010"/>
      </w:tblGrid>
      <w:tr>
        <w:trPr>
          <w:tblHeader/>
        </w:trPr>
        <w:tc>
          <w:tcPr>
            <w:tcW w:type="dxa" w:w="2500"/>
            <w:shd w:fill="4F0A85" w:val="clear"/>
            <w:tcMar>
              <w:top w:type="dxa" w:w="90"/>
              <w:left w:type="dxa" w:w="110"/>
              <w:bottom w:type="dxa" w:w="90"/>
              <w:right w:type="dxa" w:w="110"/>
            </w:tcMar>
          </w:tcPr>
          <w:p>
            <w:pPr>
              <w:spacing w:after="0" w:line="250"/>
            </w:pPr>
            <w:r>
              <w:rPr>
                <w:rFonts w:ascii="Calibri" w:cs="Calibri" w:eastAsia="Calibri" w:hAnsi="Calibri"/>
                <w:b/>
                <w:bCs/>
                <w:caps/>
                <w:color w:val="FFFFFF"/>
                <w:sz w:val="17"/>
                <w:szCs w:val="17"/>
              </w:rPr>
              <w:t xml:space="preserve">Activity</w:t>
            </w:r>
          </w:p>
        </w:tc>
        <w:tc>
          <w:tcPr>
            <w:tcW w:type="dxa" w:w="800"/>
            <w:shd w:fill="4F0A85" w:val="clear"/>
            <w:tcMar>
              <w:top w:type="dxa" w:w="90"/>
              <w:left w:type="dxa" w:w="110"/>
              <w:bottom w:type="dxa" w:w="90"/>
              <w:right w:type="dxa" w:w="110"/>
            </w:tcMar>
          </w:tcPr>
          <w:p>
            <w:pPr>
              <w:spacing w:after="0" w:line="250"/>
            </w:pPr>
            <w:r>
              <w:rPr>
                <w:rFonts w:ascii="Calibri" w:cs="Calibri" w:eastAsia="Calibri" w:hAnsi="Calibri"/>
                <w:b/>
                <w:bCs/>
                <w:caps/>
                <w:color w:val="FFFFFF"/>
                <w:sz w:val="17"/>
                <w:szCs w:val="17"/>
              </w:rPr>
              <w:t xml:space="preserve">CLO</w:t>
            </w:r>
          </w:p>
        </w:tc>
        <w:tc>
          <w:tcPr>
            <w:tcW w:type="dxa" w:w="3050"/>
            <w:shd w:fill="4F0A85" w:val="clear"/>
            <w:tcMar>
              <w:top w:type="dxa" w:w="90"/>
              <w:left w:type="dxa" w:w="110"/>
              <w:bottom w:type="dxa" w:w="90"/>
              <w:right w:type="dxa" w:w="110"/>
            </w:tcMar>
          </w:tcPr>
          <w:p>
            <w:pPr>
              <w:spacing w:after="0" w:line="250"/>
            </w:pPr>
            <w:r>
              <w:rPr>
                <w:rFonts w:ascii="Calibri" w:cs="Calibri" w:eastAsia="Calibri" w:hAnsi="Calibri"/>
                <w:b/>
                <w:bCs/>
                <w:caps/>
                <w:color w:val="FFFFFF"/>
                <w:sz w:val="17"/>
                <w:szCs w:val="17"/>
              </w:rPr>
              <w:t xml:space="preserve">What the teacher produces</w:t>
            </w:r>
          </w:p>
        </w:tc>
        <w:tc>
          <w:tcPr>
            <w:tcW w:type="dxa" w:w="3010"/>
            <w:shd w:fill="4F0A85" w:val="clear"/>
            <w:tcMar>
              <w:top w:type="dxa" w:w="90"/>
              <w:left w:type="dxa" w:w="110"/>
              <w:bottom w:type="dxa" w:w="90"/>
              <w:right w:type="dxa" w:w="110"/>
            </w:tcMar>
          </w:tcPr>
          <w:p>
            <w:pPr>
              <w:spacing w:after="0" w:line="250"/>
            </w:pPr>
            <w:r>
              <w:rPr>
                <w:rFonts w:ascii="Calibri" w:cs="Calibri" w:eastAsia="Calibri" w:hAnsi="Calibri"/>
                <w:b/>
                <w:bCs/>
                <w:caps/>
                <w:color w:val="FFFFFF"/>
                <w:sz w:val="17"/>
                <w:szCs w:val="17"/>
              </w:rPr>
              <w:t xml:space="preserve">How I know the outcome was reached</w:t>
            </w:r>
          </w:p>
        </w:tc>
      </w:tr>
      <w:tr>
        <w:trPr>
          <w:tblHeader w:val="false"/>
        </w:trPr>
        <w:tc>
          <w:tcPr>
            <w:tcW w:type="dxa" w:w="2500"/>
            <w:shd w:fill="FFFFFF" w:val="clear"/>
            <w:tcMar>
              <w:top w:type="dxa" w:w="90"/>
              <w:left w:type="dxa" w:w="110"/>
              <w:bottom w:type="dxa" w:w="90"/>
              <w:right w:type="dxa" w:w="110"/>
            </w:tcMar>
          </w:tcPr>
          <w:p>
            <w:pPr>
              <w:spacing w:after="0" w:line="250"/>
            </w:pPr>
            <w:r>
              <w:rPr>
                <w:rFonts w:ascii="Calibri" w:cs="Calibri" w:eastAsia="Calibri" w:hAnsi="Calibri"/>
                <w:b/>
                <w:bCs/>
                <w:caps w:val="false"/>
                <w:color w:val="2B2B2B"/>
                <w:sz w:val="18"/>
                <w:szCs w:val="18"/>
              </w:rPr>
              <w:t xml:space="preserve">01 · Escape the 6</w:t>
            </w:r>
          </w:p>
        </w:tc>
        <w:tc>
          <w:tcPr>
            <w:tcW w:type="dxa" w:w="80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CLO 1</w:t>
            </w:r>
          </w:p>
        </w:tc>
        <w:tc>
          <w:tcPr>
            <w:tcW w:type="dxa" w:w="305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Six locks opened by naming the component behind each piece of student evidence.</w:t>
            </w:r>
          </w:p>
        </w:tc>
        <w:tc>
          <w:tcPr>
            <w:tcW w:type="dxa" w:w="301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The lock only opens on a correct call. Mastery is the gate, so completion is the evidence.</w:t>
            </w:r>
          </w:p>
        </w:tc>
      </w:tr>
      <w:tr>
        <w:trPr>
          <w:tblHeader w:val="false"/>
        </w:trPr>
        <w:tc>
          <w:tcPr>
            <w:tcW w:type="dxa" w:w="2500"/>
            <w:shd w:fill="FFFFFF" w:val="clear"/>
            <w:tcMar>
              <w:top w:type="dxa" w:w="90"/>
              <w:left w:type="dxa" w:w="110"/>
              <w:bottom w:type="dxa" w:w="90"/>
              <w:right w:type="dxa" w:w="110"/>
            </w:tcMar>
          </w:tcPr>
          <w:p>
            <w:pPr>
              <w:spacing w:after="0" w:line="250"/>
            </w:pPr>
            <w:r>
              <w:rPr>
                <w:rFonts w:ascii="Calibri" w:cs="Calibri" w:eastAsia="Calibri" w:hAnsi="Calibri"/>
                <w:b/>
                <w:bCs/>
                <w:caps w:val="false"/>
                <w:color w:val="2B2B2B"/>
                <w:sz w:val="18"/>
                <w:szCs w:val="18"/>
              </w:rPr>
              <w:t xml:space="preserve">02 · Readers of the Ark</w:t>
            </w:r>
          </w:p>
        </w:tc>
        <w:tc>
          <w:tcPr>
            <w:tcW w:type="dxa" w:w="80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CLO 2</w:t>
            </w:r>
          </w:p>
        </w:tc>
        <w:tc>
          <w:tcPr>
            <w:tcW w:type="dxa" w:w="305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A diagnosis for each work sample: decoding, fluency, or comprehension.</w:t>
            </w:r>
          </w:p>
        </w:tc>
        <w:tc>
          <w:tcPr>
            <w:tcW w:type="dxa" w:w="301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The teacher's choice is compared against a model analysis, and the feedback branch names the miss.</w:t>
            </w:r>
          </w:p>
        </w:tc>
      </w:tr>
      <w:tr>
        <w:trPr>
          <w:tblHeader w:val="false"/>
        </w:trPr>
        <w:tc>
          <w:tcPr>
            <w:tcW w:type="dxa" w:w="2500"/>
            <w:shd w:fill="FFFFFF" w:val="clear"/>
            <w:tcMar>
              <w:top w:type="dxa" w:w="90"/>
              <w:left w:type="dxa" w:w="110"/>
              <w:bottom w:type="dxa" w:w="90"/>
              <w:right w:type="dxa" w:w="110"/>
            </w:tcMar>
          </w:tcPr>
          <w:p>
            <w:pPr>
              <w:spacing w:after="0" w:line="250"/>
            </w:pPr>
            <w:r>
              <w:rPr>
                <w:rFonts w:ascii="Calibri" w:cs="Calibri" w:eastAsia="Calibri" w:hAnsi="Calibri"/>
                <w:b/>
                <w:bCs/>
                <w:caps w:val="false"/>
                <w:color w:val="2B2B2B"/>
                <w:sz w:val="18"/>
                <w:szCs w:val="18"/>
              </w:rPr>
              <w:t xml:space="preserve">03 · Area Code</w:t>
            </w:r>
          </w:p>
        </w:tc>
        <w:tc>
          <w:tcPr>
            <w:tcW w:type="dxa" w:w="80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CLO 3</w:t>
            </w:r>
          </w:p>
        </w:tc>
        <w:tc>
          <w:tcPr>
            <w:tcW w:type="dxa" w:w="305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Five to eight content-area terms broken into roots and affixes, plus one word-study routine.</w:t>
            </w:r>
          </w:p>
        </w:tc>
        <w:tc>
          <w:tcPr>
            <w:tcW w:type="dxa" w:w="301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The routine is subject-specific and classroom-ready — it either works in their room or it does not.</w:t>
            </w:r>
          </w:p>
        </w:tc>
      </w:tr>
      <w:tr>
        <w:trPr>
          <w:tblHeader w:val="false"/>
        </w:trPr>
        <w:tc>
          <w:tcPr>
            <w:tcW w:type="dxa" w:w="2500"/>
            <w:shd w:fill="FFFFFF" w:val="clear"/>
            <w:tcMar>
              <w:top w:type="dxa" w:w="90"/>
              <w:left w:type="dxa" w:w="110"/>
              <w:bottom w:type="dxa" w:w="90"/>
              <w:right w:type="dxa" w:w="110"/>
            </w:tcMar>
          </w:tcPr>
          <w:p>
            <w:pPr>
              <w:spacing w:after="0" w:line="250"/>
            </w:pPr>
            <w:r>
              <w:rPr>
                <w:rFonts w:ascii="Calibri" w:cs="Calibri" w:eastAsia="Calibri" w:hAnsi="Calibri"/>
                <w:b/>
                <w:bCs/>
                <w:caps w:val="false"/>
                <w:color w:val="2B2B2B"/>
                <w:sz w:val="18"/>
                <w:szCs w:val="18"/>
              </w:rPr>
              <w:t xml:space="preserve">04 · Lit Bit</w:t>
            </w:r>
          </w:p>
        </w:tc>
        <w:tc>
          <w:tcPr>
            <w:tcW w:type="dxa" w:w="80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CLO 4</w:t>
            </w:r>
          </w:p>
        </w:tc>
        <w:tc>
          <w:tcPr>
            <w:tcW w:type="dxa" w:w="305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One redesigned lesson component with explicit literacy support and unchanged content rigor.</w:t>
            </w:r>
          </w:p>
        </w:tc>
        <w:tc>
          <w:tcPr>
            <w:tcW w:type="dxa" w:w="301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A before-and-after submission with a rationale for what stayed rigorous. This is the performance task.</w:t>
            </w:r>
          </w:p>
        </w:tc>
      </w:tr>
      <w:tr>
        <w:trPr>
          <w:tblHeader w:val="false"/>
        </w:trPr>
        <w:tc>
          <w:tcPr>
            <w:tcW w:type="dxa" w:w="2500"/>
            <w:shd w:fill="FFFFFF" w:val="clear"/>
            <w:tcMar>
              <w:top w:type="dxa" w:w="90"/>
              <w:left w:type="dxa" w:w="110"/>
              <w:bottom w:type="dxa" w:w="90"/>
              <w:right w:type="dxa" w:w="110"/>
            </w:tcMar>
          </w:tcPr>
          <w:p>
            <w:pPr>
              <w:spacing w:after="0" w:line="250"/>
            </w:pPr>
            <w:r>
              <w:rPr>
                <w:rFonts w:ascii="Calibri" w:cs="Calibri" w:eastAsia="Calibri" w:hAnsi="Calibri"/>
                <w:b/>
                <w:bCs/>
                <w:caps w:val="false"/>
                <w:color w:val="2B2B2B"/>
                <w:sz w:val="18"/>
                <w:szCs w:val="18"/>
              </w:rPr>
              <w:t xml:space="preserve">05 · Tech Elect</w:t>
            </w:r>
          </w:p>
        </w:tc>
        <w:tc>
          <w:tcPr>
            <w:tcW w:type="dxa" w:w="80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CLO 5</w:t>
            </w:r>
          </w:p>
        </w:tc>
        <w:tc>
          <w:tcPr>
            <w:tcW w:type="dxa" w:w="305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Two tools or accommodations matched to a named learner profile, with justification.</w:t>
            </w:r>
          </w:p>
        </w:tc>
        <w:tc>
          <w:tcPr>
            <w:tcW w:type="dxa" w:w="301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The justification must tie to that student's specific barrier, not to a generic checklist.</w:t>
            </w:r>
          </w:p>
        </w:tc>
      </w:tr>
      <w:tr>
        <w:trPr>
          <w:tblHeader w:val="false"/>
        </w:trPr>
        <w:tc>
          <w:tcPr>
            <w:tcW w:type="dxa" w:w="2500"/>
            <w:shd w:fill="FFFFFF" w:val="clear"/>
            <w:tcMar>
              <w:top w:type="dxa" w:w="90"/>
              <w:left w:type="dxa" w:w="110"/>
              <w:bottom w:type="dxa" w:w="90"/>
              <w:right w:type="dxa" w:w="110"/>
            </w:tcMar>
          </w:tcPr>
          <w:p>
            <w:pPr>
              <w:spacing w:after="0" w:line="250"/>
            </w:pPr>
            <w:r>
              <w:rPr>
                <w:rFonts w:ascii="Calibri" w:cs="Calibri" w:eastAsia="Calibri" w:hAnsi="Calibri"/>
                <w:b/>
                <w:bCs/>
                <w:caps w:val="false"/>
                <w:color w:val="2B2B2B"/>
                <w:sz w:val="18"/>
                <w:szCs w:val="18"/>
              </w:rPr>
              <w:t xml:space="preserve">06 · Self-Audit and One Goal</w:t>
            </w:r>
          </w:p>
        </w:tc>
        <w:tc>
          <w:tcPr>
            <w:tcW w:type="dxa" w:w="80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CLO 6</w:t>
            </w:r>
          </w:p>
        </w:tc>
        <w:tc>
          <w:tcPr>
            <w:tcW w:type="dxa" w:w="305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A completed self-audit and one measurable goal for the next unit.</w:t>
            </w:r>
          </w:p>
        </w:tc>
        <w:tc>
          <w:tcPr>
            <w:tcW w:type="dxa" w:w="3010"/>
            <w:shd w:fill="FFFFFF" w:val="clear"/>
            <w:tcMar>
              <w:top w:type="dxa" w:w="90"/>
              <w:left w:type="dxa" w:w="110"/>
              <w:bottom w:type="dxa" w:w="90"/>
              <w:right w:type="dxa" w:w="110"/>
            </w:tcMar>
          </w:tcPr>
          <w:p>
            <w:pPr>
              <w:spacing w:after="0" w:line="250"/>
            </w:pPr>
            <w:r>
              <w:rPr>
                <w:rFonts w:ascii="Calibri" w:cs="Calibri" w:eastAsia="Calibri" w:hAnsi="Calibri"/>
                <w:b w:val="false"/>
                <w:bCs w:val="false"/>
                <w:caps w:val="false"/>
                <w:color w:val="2B2B2B"/>
                <w:sz w:val="18"/>
                <w:szCs w:val="18"/>
              </w:rPr>
              <w:t xml:space="preserve">The goal must be measurable and evidence-based, resting on the diagnostic habit built in Activity 2.</w:t>
            </w:r>
          </w:p>
        </w:tc>
      </w:tr>
    </w:tbl>
    <w:p>
      <w:pPr>
        <w:spacing w:after="200"/>
      </w:pPr>
    </w:p>
    <w:p>
      <w:pPr>
        <w:pStyle w:val="Heading1"/>
        <w:spacing w:after="140" w:before="320"/>
      </w:pPr>
      <w:r>
        <w:rPr>
          <w:rFonts w:ascii="Georgia" w:cs="Georgia" w:eastAsia="Georgia" w:hAnsi="Georgia"/>
          <w:b/>
          <w:bCs/>
          <w:color w:val="4F0A85"/>
          <w:sz w:val="30"/>
          <w:szCs w:val="30"/>
        </w:rPr>
        <w:t xml:space="preserve">Reflection</w:t>
      </w:r>
    </w:p>
    <w:p>
      <w:pPr>
        <w:pStyle w:val="Heading2"/>
        <w:spacing w:after="100" w:before="240"/>
      </w:pPr>
      <w:r>
        <w:rPr>
          <w:rFonts w:ascii="Georgia" w:cs="Georgia" w:eastAsia="Georgia" w:hAnsi="Georgia"/>
          <w:b/>
          <w:bCs/>
          <w:color w:val="33065A"/>
          <w:sz w:val="24"/>
          <w:szCs w:val="24"/>
        </w:rPr>
        <w:t xml:space="preserve">1. How each activity supports the course learning outcomes</w:t>
      </w:r>
    </w:p>
    <w:p>
      <w:pPr>
        <w:spacing w:after="120" w:line="276"/>
        <w:jc w:val="both"/>
      </w:pPr>
      <w:r>
        <w:rPr>
          <w:rFonts w:ascii="Calibri" w:cs="Calibri" w:eastAsia="Calibri" w:hAnsi="Calibri"/>
          <w:color w:val="2B2B2B"/>
          <w:sz w:val="21"/>
          <w:szCs w:val="21"/>
        </w:rPr>
        <w:t xml:space="preserve">I built each activity to land on one outcome and reinforce another, because a course that treats six outcomes as six unrelated boxes teaches teachers to check boxes.</w:t>
      </w:r>
    </w:p>
    <w:p>
      <w:pPr>
        <w:spacing w:after="120" w:line="276"/>
        <w:jc w:val="both"/>
      </w:pPr>
      <w:r>
        <w:rPr>
          <w:rFonts w:ascii="Calibri" w:cs="Calibri" w:eastAsia="Calibri" w:hAnsi="Calibri"/>
          <w:b/>
          <w:bCs/>
          <w:color w:val="33065A"/>
          <w:sz w:val="21"/>
          <w:szCs w:val="21"/>
        </w:rPr>
        <w:t xml:space="preserve">Escape the 6 carries CLO 1. </w:t>
      </w:r>
      <w:r>
        <w:rPr>
          <w:rFonts w:ascii="Calibri" w:cs="Calibri" w:eastAsia="Calibri" w:hAnsi="Calibri"/>
          <w:color w:val="2B2B2B"/>
          <w:sz w:val="21"/>
          <w:szCs w:val="21"/>
        </w:rPr>
        <w:t xml:space="preserve">Teachers cannot support reading they cannot name. The escape room does not ask for a definition — it hands them Marcus saying "aminal" for animal and asks which of the six components is breaking. The lock opens only on the right call, so the outcome is not self-reported; it is demonstrated six times.</w:t>
      </w:r>
    </w:p>
    <w:p>
      <w:pPr>
        <w:spacing w:after="120" w:line="276"/>
        <w:jc w:val="both"/>
      </w:pPr>
      <w:r>
        <w:rPr>
          <w:rFonts w:ascii="Calibri" w:cs="Calibri" w:eastAsia="Calibri" w:hAnsi="Calibri"/>
          <w:b/>
          <w:bCs/>
          <w:color w:val="33065A"/>
          <w:sz w:val="21"/>
          <w:szCs w:val="21"/>
        </w:rPr>
        <w:t xml:space="preserve">Readers of the Ark carries CLO 2. </w:t>
      </w:r>
      <w:r>
        <w:rPr>
          <w:rFonts w:ascii="Calibri" w:cs="Calibri" w:eastAsia="Calibri" w:hAnsi="Calibri"/>
          <w:color w:val="2B2B2B"/>
          <w:sz w:val="21"/>
          <w:szCs w:val="21"/>
        </w:rPr>
        <w:t xml:space="preserve">Teachers read real student work and locate whether the breakdown is decoding, fluency, or comprehension, then see their read compared against a model analysis. The habit being built is diagnosing before intervening.</w:t>
      </w:r>
    </w:p>
    <w:p>
      <w:pPr>
        <w:spacing w:after="120" w:line="276"/>
        <w:jc w:val="both"/>
      </w:pPr>
      <w:r>
        <w:rPr>
          <w:rFonts w:ascii="Calibri" w:cs="Calibri" w:eastAsia="Calibri" w:hAnsi="Calibri"/>
          <w:b/>
          <w:bCs/>
          <w:color w:val="33065A"/>
          <w:sz w:val="21"/>
          <w:szCs w:val="21"/>
        </w:rPr>
        <w:t xml:space="preserve">Area Code carries CLO 3. </w:t>
      </w:r>
      <w:r>
        <w:rPr>
          <w:rFonts w:ascii="Calibri" w:cs="Calibri" w:eastAsia="Calibri" w:hAnsi="Calibri"/>
          <w:color w:val="2B2B2B"/>
          <w:sz w:val="21"/>
          <w:szCs w:val="21"/>
        </w:rPr>
        <w:t xml:space="preserve">A science teacher unpacks photosynthesis; a history teacher unpacks reconstruction. The morphology is theirs, from their unit, which is what moves it from a reading-teacher idea to a Tuesday-morning tool.</w:t>
      </w:r>
    </w:p>
    <w:p>
      <w:pPr>
        <w:spacing w:after="120" w:line="276"/>
        <w:jc w:val="both"/>
      </w:pPr>
      <w:r>
        <w:rPr>
          <w:rFonts w:ascii="Calibri" w:cs="Calibri" w:eastAsia="Calibri" w:hAnsi="Calibri"/>
          <w:b/>
          <w:bCs/>
          <w:color w:val="33065A"/>
          <w:sz w:val="21"/>
          <w:szCs w:val="21"/>
        </w:rPr>
        <w:t xml:space="preserve">Lit Bit is CLO 4 outright. </w:t>
      </w:r>
      <w:r>
        <w:rPr>
          <w:rFonts w:ascii="Calibri" w:cs="Calibri" w:eastAsia="Calibri" w:hAnsi="Calibri"/>
          <w:color w:val="2B2B2B"/>
          <w:sz w:val="21"/>
          <w:szCs w:val="21"/>
        </w:rPr>
        <w:t xml:space="preserve">The teacher designs a literacy-embedded lesson component and submits a before-and-after with a rationale for what stayed rigorous. It draws directly on the component vocabulary from Activity 1 and the morphology work in Activity 3 — a teacher who skipped those cannot complete this one, which is the point.</w:t>
      </w:r>
    </w:p>
    <w:p>
      <w:pPr>
        <w:spacing w:after="120" w:line="276"/>
        <w:jc w:val="both"/>
      </w:pPr>
      <w:r>
        <w:rPr>
          <w:rFonts w:ascii="Calibri" w:cs="Calibri" w:eastAsia="Calibri" w:hAnsi="Calibri"/>
          <w:b/>
          <w:bCs/>
          <w:color w:val="33065A"/>
          <w:sz w:val="21"/>
          <w:szCs w:val="21"/>
        </w:rPr>
        <w:t xml:space="preserve">Tech Elect carries CLO 5, </w:t>
      </w:r>
      <w:r>
        <w:rPr>
          <w:rFonts w:ascii="Calibri" w:cs="Calibri" w:eastAsia="Calibri" w:hAnsi="Calibri"/>
          <w:color w:val="2B2B2B"/>
          <w:sz w:val="21"/>
          <w:szCs w:val="21"/>
        </w:rPr>
        <w:t xml:space="preserve">tying tool choice to a specific student profile rather than a general list of accommodations.</w:t>
      </w:r>
    </w:p>
    <w:p>
      <w:pPr>
        <w:spacing w:after="120" w:line="276"/>
        <w:jc w:val="both"/>
      </w:pPr>
      <w:r>
        <w:rPr>
          <w:rFonts w:ascii="Calibri" w:cs="Calibri" w:eastAsia="Calibri" w:hAnsi="Calibri"/>
          <w:b/>
          <w:bCs/>
          <w:color w:val="33065A"/>
          <w:sz w:val="21"/>
          <w:szCs w:val="21"/>
        </w:rPr>
        <w:t xml:space="preserve">Self-Audit and One Goal carries CLO 6, </w:t>
      </w:r>
      <w:r>
        <w:rPr>
          <w:rFonts w:ascii="Calibri" w:cs="Calibri" w:eastAsia="Calibri" w:hAnsi="Calibri"/>
          <w:color w:val="2B2B2B"/>
          <w:sz w:val="21"/>
          <w:szCs w:val="21"/>
        </w:rPr>
        <w:t xml:space="preserve">ending on a single measurable goal. It loops back to Activity 2 on purpose: honest self-evaluation depends on the diagnostic eye built earlier. A teacher who cannot see where a reader is stuck cannot set a goal worth setting.</w:t>
      </w:r>
    </w:p>
    <w:p>
      <w:pPr>
        <w:pStyle w:val="Heading2"/>
        <w:spacing w:after="100" w:before="240"/>
      </w:pPr>
      <w:r>
        <w:rPr>
          <w:rFonts w:ascii="Georgia" w:cs="Georgia" w:eastAsia="Georgia" w:hAnsi="Georgia"/>
          <w:b/>
          <w:bCs/>
          <w:color w:val="33065A"/>
          <w:sz w:val="24"/>
          <w:szCs w:val="24"/>
        </w:rPr>
        <w:t xml:space="preserve">2. Differentiating for diverse learning preferences</w:t>
      </w:r>
    </w:p>
    <w:p>
      <w:pPr>
        <w:spacing w:after="120" w:line="276"/>
        <w:jc w:val="both"/>
      </w:pPr>
      <w:r>
        <w:rPr>
          <w:rFonts w:ascii="Calibri" w:cs="Calibri" w:eastAsia="Calibri" w:hAnsi="Calibri"/>
          <w:color w:val="2B2B2B"/>
          <w:sz w:val="21"/>
          <w:szCs w:val="21"/>
        </w:rPr>
        <w:t xml:space="preserve">I planned for visual, auditory, kinesthetic, and reading/writing preferences using UDL's multiple means of representation, action, and engagement (CAST, 2018), so no teacher is locked into one channel. Building Activity 1 as a real prototype forced these decisions out of the abstract, and the choices below are in the working product, not just the plan:</w:t>
      </w:r>
    </w:p>
    <w:p>
      <w:pPr>
        <w:pStyle w:val="ListParagraph"/>
        <w:numPr>
          <w:ilvl w:val="0"/>
          <w:numId w:val="1"/>
        </w:numPr>
        <w:spacing w:after="80" w:line="276"/>
      </w:pPr>
      <w:r>
        <w:rPr>
          <w:rFonts w:ascii="Calibri" w:cs="Calibri" w:eastAsia="Calibri" w:hAnsi="Calibri"/>
          <w:color w:val="2B2B2B"/>
          <w:sz w:val="21"/>
          <w:szCs w:val="21"/>
        </w:rPr>
        <w:t xml:space="preserve">Multiple representation channels. Every explainer segment pairs narrated audio with on-screen text and a printable one-page summary. In the built prototype, a narrated guide speaks each lesson slide while the same content sits on screen — a teacher can read it, hear it, or both.</w:t>
      </w:r>
    </w:p>
    <w:p>
      <w:pPr>
        <w:pStyle w:val="ListParagraph"/>
        <w:numPr>
          <w:ilvl w:val="0"/>
          <w:numId w:val="1"/>
        </w:numPr>
        <w:spacing w:after="80" w:line="276"/>
      </w:pPr>
      <w:r>
        <w:rPr>
          <w:rFonts w:ascii="Calibri" w:cs="Calibri" w:eastAsia="Calibri" w:hAnsi="Calibri"/>
          <w:color w:val="2B2B2B"/>
          <w:sz w:val="21"/>
          <w:szCs w:val="21"/>
        </w:rPr>
        <w:t xml:space="preserve">Replayable narration (UDL 2.3). Every screen has a replay control. A teacher who missed a line, was interrupted, or processes audio slowly can hear it again without restarting. Interruption is the normal condition of a teacher's day; the design assumes it.</w:t>
      </w:r>
    </w:p>
    <w:p>
      <w:pPr>
        <w:pStyle w:val="ListParagraph"/>
        <w:numPr>
          <w:ilvl w:val="0"/>
          <w:numId w:val="1"/>
        </w:numPr>
        <w:spacing w:after="80" w:line="276"/>
      </w:pPr>
      <w:r>
        <w:rPr>
          <w:rFonts w:ascii="Calibri" w:cs="Calibri" w:eastAsia="Calibri" w:hAnsi="Calibri"/>
          <w:color w:val="2B2B2B"/>
          <w:sz w:val="21"/>
          <w:szCs w:val="21"/>
        </w:rPr>
        <w:t xml:space="preserve">Independent audio controls. Narration and background audio toggle separately. A teacher with auditory sensitivity, or one using a screen reader, can silence the score without losing the instruction.</w:t>
      </w:r>
    </w:p>
    <w:p>
      <w:pPr>
        <w:pStyle w:val="ListParagraph"/>
        <w:numPr>
          <w:ilvl w:val="0"/>
          <w:numId w:val="1"/>
        </w:numPr>
        <w:spacing w:after="80" w:line="276"/>
      </w:pPr>
      <w:r>
        <w:rPr>
          <w:rFonts w:ascii="Calibri" w:cs="Calibri" w:eastAsia="Calibri" w:hAnsi="Calibri"/>
          <w:color w:val="2B2B2B"/>
          <w:sz w:val="21"/>
          <w:szCs w:val="21"/>
        </w:rPr>
        <w:t xml:space="preserve">A non-punitive clock (UDL 7.3). The escape room counts down, but it never locks anyone out. It creates urgency without the threat response that would shut down exactly the struggling-reader profile these teachers are learning to support. Minimizing threats is not a courtesy; it is a condition of learning.</w:t>
      </w:r>
    </w:p>
    <w:p>
      <w:pPr>
        <w:pStyle w:val="ListParagraph"/>
        <w:numPr>
          <w:ilvl w:val="0"/>
          <w:numId w:val="1"/>
        </w:numPr>
        <w:spacing w:after="80" w:line="276"/>
      </w:pPr>
      <w:r>
        <w:rPr>
          <w:rFonts w:ascii="Calibri" w:cs="Calibri" w:eastAsia="Calibri" w:hAnsi="Calibri"/>
          <w:color w:val="2B2B2B"/>
          <w:sz w:val="21"/>
          <w:szCs w:val="21"/>
        </w:rPr>
        <w:t xml:space="preserve">Mastery gates instead of scores. A wrong answer returns a guided hint and another attempt. Teachers are not ranked against each other — they are moved toward the correct call.</w:t>
      </w:r>
    </w:p>
    <w:p>
      <w:pPr>
        <w:pStyle w:val="ListParagraph"/>
        <w:numPr>
          <w:ilvl w:val="0"/>
          <w:numId w:val="1"/>
        </w:numPr>
        <w:spacing w:after="80" w:line="276"/>
      </w:pPr>
      <w:r>
        <w:rPr>
          <w:rFonts w:ascii="Calibri" w:cs="Calibri" w:eastAsia="Calibri" w:hAnsi="Calibri"/>
          <w:color w:val="2B2B2B"/>
          <w:sz w:val="21"/>
          <w:szCs w:val="21"/>
        </w:rPr>
        <w:t xml:space="preserve">Learner autonomy for expert learners. The lesson can be skipped by a teacher who already knows the six components, so David, my intervention-track persona, is not made to sit through content he has taught for years.</w:t>
      </w:r>
    </w:p>
    <w:p>
      <w:pPr>
        <w:pStyle w:val="ListParagraph"/>
        <w:numPr>
          <w:ilvl w:val="0"/>
          <w:numId w:val="1"/>
        </w:numPr>
        <w:spacing w:after="80" w:line="276"/>
      </w:pPr>
      <w:r>
        <w:rPr>
          <w:rFonts w:ascii="Calibri" w:cs="Calibri" w:eastAsia="Calibri" w:hAnsi="Calibri"/>
          <w:color w:val="2B2B2B"/>
          <w:sz w:val="21"/>
          <w:szCs w:val="21"/>
        </w:rPr>
        <w:t xml:space="preserve">Three tracks. Marcus, Rosa, and David give a light layer of choice so a teacher enters at the level that matches where they actually are.</w:t>
      </w:r>
    </w:p>
    <w:p>
      <w:pPr>
        <w:spacing w:after="120" w:line="276"/>
        <w:jc w:val="both"/>
      </w:pPr>
      <w:r>
        <w:rPr>
          <w:rFonts w:ascii="Calibri" w:cs="Calibri" w:eastAsia="Calibri" w:hAnsi="Calibri"/>
          <w:color w:val="2B2B2B"/>
          <w:sz w:val="21"/>
          <w:szCs w:val="21"/>
        </w:rPr>
        <w:t xml:space="preserve">Offering the same content through more than one channel helps every teacher, not only the one who names a preference — the point UDL makes about designing for learner variability from the start rather than retrofitting for it later.</w:t>
      </w:r>
    </w:p>
    <w:p>
      <w:pPr>
        <w:pStyle w:val="Heading2"/>
        <w:spacing w:after="100" w:before="240"/>
      </w:pPr>
      <w:r>
        <w:rPr>
          <w:rFonts w:ascii="Georgia" w:cs="Georgia" w:eastAsia="Georgia" w:hAnsi="Georgia"/>
          <w:b/>
          <w:bCs/>
          <w:color w:val="33065A"/>
          <w:sz w:val="24"/>
          <w:szCs w:val="24"/>
        </w:rPr>
        <w:t xml:space="preserve">3. Strategies for engagement and interactivity</w:t>
      </w:r>
    </w:p>
    <w:p>
      <w:pPr>
        <w:spacing w:after="120" w:line="276"/>
        <w:jc w:val="both"/>
      </w:pPr>
      <w:r>
        <w:rPr>
          <w:rFonts w:ascii="Calibri" w:cs="Calibri" w:eastAsia="Calibri" w:hAnsi="Calibri"/>
          <w:color w:val="2B2B2B"/>
          <w:sz w:val="21"/>
          <w:szCs w:val="21"/>
        </w:rPr>
        <w:t xml:space="preserve">Four strategies keep teachers active, and each one is tied to a specific claim about learning.</w:t>
      </w:r>
    </w:p>
    <w:p>
      <w:pPr>
        <w:spacing w:after="120" w:line="276"/>
        <w:jc w:val="both"/>
      </w:pPr>
      <w:r>
        <w:rPr>
          <w:rFonts w:ascii="Calibri" w:cs="Calibri" w:eastAsia="Calibri" w:hAnsi="Calibri"/>
          <w:b/>
          <w:bCs/>
          <w:color w:val="33065A"/>
          <w:sz w:val="21"/>
          <w:szCs w:val="21"/>
        </w:rPr>
        <w:t xml:space="preserve">Scenario-based decisions. </w:t>
      </w:r>
      <w:r>
        <w:rPr>
          <w:rFonts w:ascii="Calibri" w:cs="Calibri" w:eastAsia="Calibri" w:hAnsi="Calibri"/>
          <w:color w:val="2B2B2B"/>
          <w:sz w:val="21"/>
          <w:szCs w:val="21"/>
        </w:rPr>
        <w:t xml:space="preserve">The Diagnostic Lab and Tech Match do not ask teachers to memorize. They ask them to choose and then show the consequence, which keeps the work close to real classrooms. Decisions with visible consequences are what make a scenario instructional rather than decorative.</w:t>
      </w:r>
    </w:p>
    <w:p>
      <w:pPr>
        <w:spacing w:after="120" w:line="276"/>
        <w:jc w:val="both"/>
      </w:pPr>
      <w:r>
        <w:rPr>
          <w:rFonts w:ascii="Calibri" w:cs="Calibri" w:eastAsia="Calibri" w:hAnsi="Calibri"/>
          <w:b/>
          <w:bCs/>
          <w:color w:val="33065A"/>
          <w:sz w:val="21"/>
          <w:szCs w:val="21"/>
        </w:rPr>
        <w:t xml:space="preserve">Gamification with a reason. </w:t>
      </w:r>
      <w:r>
        <w:rPr>
          <w:rFonts w:ascii="Calibri" w:cs="Calibri" w:eastAsia="Calibri" w:hAnsi="Calibri"/>
          <w:color w:val="2B2B2B"/>
          <w:sz w:val="21"/>
          <w:szCs w:val="21"/>
        </w:rPr>
        <w:t xml:space="preserve">Activity 1 is an escape room with six locks, a countdown, and an original score. The design choice worth naming is what the music does not do: it stays silent during the lesson and starts only when the assessment begins. Background audio while six new terms are still being encoded is extraneous cognitive load (Sweller, 1988) — it competes with the content. Once the learning has happened, urgency is useful. Teach quiet, assess loud.</w:t>
      </w:r>
    </w:p>
    <w:p>
      <w:pPr>
        <w:spacing w:after="120" w:line="276"/>
        <w:jc w:val="both"/>
      </w:pPr>
      <w:r>
        <w:rPr>
          <w:rFonts w:ascii="Calibri" w:cs="Calibri" w:eastAsia="Calibri" w:hAnsi="Calibri"/>
          <w:b/>
          <w:bCs/>
          <w:color w:val="33065A"/>
          <w:sz w:val="21"/>
          <w:szCs w:val="21"/>
        </w:rPr>
        <w:t xml:space="preserve">A narrated guide. </w:t>
      </w:r>
      <w:r>
        <w:rPr>
          <w:rFonts w:ascii="Calibri" w:cs="Calibri" w:eastAsia="Calibri" w:hAnsi="Calibri"/>
          <w:color w:val="2B2B2B"/>
          <w:sz w:val="21"/>
          <w:szCs w:val="21"/>
        </w:rPr>
        <w:t xml:space="preserve">Agent Freeman speaks to the learner directly, in a conversational register, throughout the lesson and the locks. Mayer's (2009) personalization and voice principles hold that learners work harder to understand a person speaking to them than an impersonal narrator, and the built prototype puts that to work.</w:t>
      </w:r>
    </w:p>
    <w:p>
      <w:pPr>
        <w:spacing w:after="120" w:line="276"/>
        <w:jc w:val="both"/>
      </w:pPr>
      <w:r>
        <w:rPr>
          <w:rFonts w:ascii="Calibri" w:cs="Calibri" w:eastAsia="Calibri" w:hAnsi="Calibri"/>
          <w:b/>
          <w:bCs/>
          <w:color w:val="33065A"/>
          <w:sz w:val="21"/>
          <w:szCs w:val="21"/>
        </w:rPr>
        <w:t xml:space="preserve">Relevance and small wins. </w:t>
      </w:r>
      <w:r>
        <w:rPr>
          <w:rFonts w:ascii="Calibri" w:cs="Calibri" w:eastAsia="Calibri" w:hAnsi="Calibri"/>
          <w:color w:val="2B2B2B"/>
          <w:sz w:val="21"/>
          <w:szCs w:val="21"/>
        </w:rPr>
        <w:t xml:space="preserve">Straight from andragogy (Knowles, 1980): every activity uses the teacher's own subject, vocabulary, and students, so the work never feels like someone else's course. Activities are chunked into short modules a teacher can finish between classes, which respects cognitive load and gives a real sense of progress.</w:t>
      </w:r>
    </w:p>
    <w:p>
      <w:pPr>
        <w:spacing w:after="120" w:line="276"/>
        <w:jc w:val="both"/>
      </w:pPr>
      <w:r>
        <w:rPr>
          <w:rFonts w:ascii="Calibri" w:cs="Calibri" w:eastAsia="Calibri" w:hAnsi="Calibri"/>
          <w:color w:val="2B2B2B"/>
          <w:sz w:val="21"/>
          <w:szCs w:val="21"/>
        </w:rPr>
        <w:t xml:space="preserve">Building the prototype rather than describing it is itself the Rapid ID argument. I learned more about pacing, feedback wording, and cognitive load in one afternoon of testing the escape room than I would have from another week of specification (Piskurich, 2015).</w:t>
      </w:r>
    </w:p>
    <w:p>
      <w:pPr>
        <w:pStyle w:val="Heading1"/>
        <w:spacing w:after="140" w:before="320"/>
      </w:pPr>
      <w:r>
        <w:rPr>
          <w:rFonts w:ascii="Georgia" w:cs="Georgia" w:eastAsia="Georgia" w:hAnsi="Georgia"/>
          <w:b/>
          <w:bCs/>
          <w:color w:val="4F0A85"/>
          <w:sz w:val="30"/>
          <w:szCs w:val="30"/>
        </w:rPr>
        <w:t xml:space="preserve">Note on Artificial Intelligence Use</w:t>
      </w:r>
    </w:p>
    <w:p>
      <w:pPr>
        <w:spacing w:after="120" w:line="276"/>
        <w:jc w:val="both"/>
      </w:pPr>
      <w:r>
        <w:rPr>
          <w:rFonts w:ascii="Calibri" w:cs="Calibri" w:eastAsia="Calibri" w:hAnsi="Calibri"/>
          <w:color w:val="2B2B2B"/>
          <w:sz w:val="21"/>
          <w:szCs w:val="21"/>
        </w:rPr>
        <w:t xml:space="preserve">The instructional design work in this document is my own. The learning gap, the six course learning outcomes, the six activities, the alignment decisions, the differentiation plan, and this reflection come from my own practice as a structured-literacy interventionist and dyslexia specialist.</w:t>
      </w:r>
    </w:p>
    <w:p>
      <w:pPr>
        <w:spacing w:after="120" w:line="276"/>
        <w:jc w:val="both"/>
      </w:pPr>
      <w:r>
        <w:rPr>
          <w:rFonts w:ascii="Calibri" w:cs="Calibri" w:eastAsia="Calibri" w:hAnsi="Calibri"/>
          <w:color w:val="2B2B2B"/>
          <w:sz w:val="21"/>
          <w:szCs w:val="21"/>
        </w:rPr>
        <w:t xml:space="preserve">I used Claude (Anthropic, 2026) as a thought partner in two defined ways. First, as a sounding board: I asked it to pressure-test my activity-to-CLO alignment and to challenge me where an activity was doing less work than I thought. Second, as a development tool: I directed it in writing the HTML, CSS, and JavaScript for the Activity 1 prototype, including the Web Audio score and the narration, based on my design specifications. Every instructional decision in that prototype — mastery gates, the non-punitive clock, silent instruction, the six evidence items — is mine, and I reviewed, tested, and revised all output. No AI-generated text appears in this document without my rewriting it in my own voice.</w:t>
      </w:r>
    </w:p>
    <w:p>
      <w:pPr>
        <w:spacing w:after="120" w:line="276"/>
        <w:jc w:val="both"/>
      </w:pPr>
      <w:r>
        <w:rPr>
          <w:rFonts w:ascii="Calibri" w:cs="Calibri" w:eastAsia="Calibri" w:hAnsi="Calibri"/>
          <w:color w:val="2B2B2B"/>
          <w:sz w:val="21"/>
          <w:szCs w:val="21"/>
        </w:rPr>
        <w:t xml:space="preserve">This disclosure is provided in keeping with the artificial intelligence policy documented in the course syllabus.</w:t>
      </w:r>
    </w:p>
    <w:p>
      <w:pPr>
        <w:pStyle w:val="Heading1"/>
        <w:spacing w:after="140" w:before="320"/>
      </w:pPr>
      <w:r>
        <w:rPr>
          <w:rFonts w:ascii="Georgia" w:cs="Georgia" w:eastAsia="Georgia" w:hAnsi="Georgia"/>
          <w:b/>
          <w:bCs/>
          <w:color w:val="4F0A85"/>
          <w:sz w:val="30"/>
          <w:szCs w:val="30"/>
        </w:rPr>
        <w:t xml:space="preserve">References</w:t>
      </w:r>
    </w:p>
    <w:p>
      <w:pPr>
        <w:spacing w:after="120" w:line="276"/>
        <w:ind w:left="360" w:hanging="360"/>
      </w:pPr>
      <w:r>
        <w:rPr>
          <w:rFonts w:ascii="Calibri" w:cs="Calibri" w:eastAsia="Calibri" w:hAnsi="Calibri"/>
          <w:color w:val="2B2B2B"/>
          <w:sz w:val="20"/>
          <w:szCs w:val="20"/>
        </w:rPr>
        <w:t xml:space="preserve">Anthropic. (2026). Claude [Large language model]. https://claude.ai</w:t>
      </w:r>
    </w:p>
    <w:p>
      <w:pPr>
        <w:spacing w:after="120" w:line="276"/>
        <w:ind w:left="360" w:hanging="360"/>
      </w:pPr>
      <w:r>
        <w:rPr>
          <w:rFonts w:ascii="Calibri" w:cs="Calibri" w:eastAsia="Calibri" w:hAnsi="Calibri"/>
          <w:color w:val="2B2B2B"/>
          <w:sz w:val="20"/>
          <w:szCs w:val="20"/>
        </w:rPr>
        <w:t xml:space="preserve">CAST. (2018). Universal design for learning guidelines version 2.2. https://udlguidelines.cast.org</w:t>
      </w:r>
    </w:p>
    <w:p>
      <w:pPr>
        <w:spacing w:after="120" w:line="276"/>
        <w:ind w:left="360" w:hanging="360"/>
      </w:pPr>
      <w:r>
        <w:rPr>
          <w:rFonts w:ascii="Calibri" w:cs="Calibri" w:eastAsia="Calibri" w:hAnsi="Calibri"/>
          <w:color w:val="2B2B2B"/>
          <w:sz w:val="20"/>
          <w:szCs w:val="20"/>
        </w:rPr>
        <w:t xml:space="preserve">International Dyslexia Association. (2018). Knowledge and practice standards for teachers of reading (2nd ed.). https://dyslexiaida.org</w:t>
      </w:r>
    </w:p>
    <w:p>
      <w:pPr>
        <w:spacing w:after="120" w:line="276"/>
        <w:ind w:left="360" w:hanging="360"/>
      </w:pPr>
      <w:r>
        <w:rPr>
          <w:rFonts w:ascii="Calibri" w:cs="Calibri" w:eastAsia="Calibri" w:hAnsi="Calibri"/>
          <w:color w:val="2B2B2B"/>
          <w:sz w:val="20"/>
          <w:szCs w:val="20"/>
        </w:rPr>
        <w:t xml:space="preserve">Knowles, M. S. (1980). The modern practice of adult education: From pedagogy to andragogy (2nd ed.). Cambridge Books.</w:t>
      </w:r>
    </w:p>
    <w:p>
      <w:pPr>
        <w:spacing w:after="120" w:line="276"/>
        <w:ind w:left="360" w:hanging="360"/>
      </w:pPr>
      <w:r>
        <w:rPr>
          <w:rFonts w:ascii="Calibri" w:cs="Calibri" w:eastAsia="Calibri" w:hAnsi="Calibri"/>
          <w:color w:val="2B2B2B"/>
          <w:sz w:val="20"/>
          <w:szCs w:val="20"/>
        </w:rPr>
        <w:t xml:space="preserve">Mayer, R. E. (2009). Multimedia learning (2nd ed.). Cambridge University Press.</w:t>
      </w:r>
    </w:p>
    <w:p>
      <w:pPr>
        <w:spacing w:after="120" w:line="276"/>
        <w:ind w:left="360" w:hanging="360"/>
      </w:pPr>
      <w:r>
        <w:rPr>
          <w:rFonts w:ascii="Calibri" w:cs="Calibri" w:eastAsia="Calibri" w:hAnsi="Calibri"/>
          <w:color w:val="2B2B2B"/>
          <w:sz w:val="20"/>
          <w:szCs w:val="20"/>
        </w:rPr>
        <w:t xml:space="preserve">Moats, L. C. (2020). Speech to print: Language essentials for teachers (3rd ed.). Paul H. Brookes Publishing.</w:t>
      </w:r>
    </w:p>
    <w:p>
      <w:pPr>
        <w:spacing w:after="120" w:line="276"/>
        <w:ind w:left="360" w:hanging="360"/>
      </w:pPr>
      <w:r>
        <w:rPr>
          <w:rFonts w:ascii="Calibri" w:cs="Calibri" w:eastAsia="Calibri" w:hAnsi="Calibri"/>
          <w:color w:val="2B2B2B"/>
          <w:sz w:val="20"/>
          <w:szCs w:val="20"/>
        </w:rPr>
        <w:t xml:space="preserve">Piskurich, G. M. (2015). Rapid instructional design: Learning ID fast and right (3rd ed.). Wiley.</w:t>
      </w:r>
    </w:p>
    <w:p>
      <w:pPr>
        <w:spacing w:after="120" w:line="276"/>
        <w:ind w:left="360" w:hanging="360"/>
      </w:pPr>
      <w:r>
        <w:rPr>
          <w:rFonts w:ascii="Calibri" w:cs="Calibri" w:eastAsia="Calibri" w:hAnsi="Calibri"/>
          <w:color w:val="2B2B2B"/>
          <w:sz w:val="20"/>
          <w:szCs w:val="20"/>
        </w:rPr>
        <w:t xml:space="preserve">Sweller, J. (1988). Cognitive load during problem solving: Effects on learning. Cognitive Science, 12(2), 257–285.</w:t>
      </w:r>
    </w:p>
    <w:p>
      <w:pPr>
        <w:spacing w:after="120" w:line="276"/>
        <w:ind w:left="360" w:hanging="360"/>
      </w:pPr>
      <w:r>
        <w:rPr>
          <w:rFonts w:ascii="Calibri" w:cs="Calibri" w:eastAsia="Calibri" w:hAnsi="Calibri"/>
          <w:color w:val="2B2B2B"/>
          <w:sz w:val="20"/>
          <w:szCs w:val="20"/>
        </w:rPr>
        <w:t xml:space="preserve">Wiggins, G., &amp; McTighe, J. (2005). Understanding by design (2nd ed.). Association for Supervision and Curriculum Development.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2026-07-11T10:04:59.900Z</dcterms:created>
  <dcterms:modified xsi:type="dcterms:W3CDTF">2026-07-11T10:04:59.900Z</dcterms:modified>
</cp:coreProperties>
</file>

<file path=docProps/custom.xml><?xml version="1.0" encoding="utf-8"?>
<Properties xmlns="http://schemas.openxmlformats.org/officeDocument/2006/custom-properties" xmlns:vt="http://schemas.openxmlformats.org/officeDocument/2006/docPropsVTypes"/>
</file>