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521482" w:color="auto" w:val="clear"/>
        <w:spacing w:after="0" w:before="0"/>
        <w:jc w:val="center"/>
      </w:pPr>
      <w:r>
        <w:rPr>
          <w:rFonts w:ascii="Inter" w:cs="Inter" w:eastAsia="Inter" w:hAnsi="Inter"/>
          <w:b/>
          <w:bCs/>
          <w:color w:val="FFD9A8"/>
          <w:spacing w:val="30"/>
          <w:sz w:val="18"/>
          <w:szCs w:val="18"/>
        </w:rPr>
        <w:t xml:space="preserve">LDTC 605  ·  UNIT 4 ASSIGNMENT</w:t>
      </w:r>
    </w:p>
    <w:p>
      <w:pPr>
        <w:shd w:fill="521482" w:color="auto" w:val="clear"/>
        <w:spacing w:after="60" w:before="60"/>
        <w:jc w:val="center"/>
      </w:pPr>
      <w:r>
        <w:rPr>
          <w:rFonts w:ascii="Fraunces" w:cs="Fraunces" w:eastAsia="Fraunces" w:hAnsi="Fraunces"/>
          <w:b/>
          <w:bCs/>
          <w:color w:val="FFFFFF"/>
          <w:sz w:val="40"/>
          <w:szCs w:val="40"/>
        </w:rPr>
        <w:t xml:space="preserve">Course Learning Outcomes &amp; Reflection</w:t>
      </w:r>
    </w:p>
    <w:p>
      <w:pPr>
        <w:shd w:fill="521482" w:color="auto" w:val="clear"/>
        <w:spacing w:after="120" w:before="0"/>
        <w:jc w:val="center"/>
      </w:pPr>
      <w:r>
        <w:rPr>
          <w:rFonts w:ascii="Inter" w:cs="Inter" w:eastAsia="Inter" w:hAnsi="Inter"/>
          <w:color w:val="E9DEF5"/>
          <w:sz w:val="18"/>
          <w:szCs w:val="18"/>
        </w:rPr>
        <w:t xml:space="preserve">Tenneh C. Freeman  ·  M.Ed. Learning Design &amp; Technology  ·  UMGC</w:t>
      </w:r>
    </w:p>
    <w:p>
      <w:pPr>
        <w:pBdr>
          <w:bottom w:val="single" w:color="E68117" w:sz="12" w:space="6"/>
        </w:pBdr>
        <w:spacing w:after="120" w:before="300"/>
      </w:pPr>
      <w:r>
        <w:rPr>
          <w:rFonts w:ascii="Fraunces" w:cs="Fraunces" w:eastAsia="Fraunces" w:hAnsi="Fraunces"/>
          <w:b/>
          <w:bCs/>
          <w:color w:val="521482"/>
          <w:sz w:val="30"/>
          <w:szCs w:val="30"/>
        </w:rPr>
        <w:t xml:space="preserve">Minicourse Context</w:t>
      </w:r>
    </w:p>
    <w:p>
      <w:pPr>
        <w:spacing w:after="160" w:line="300"/>
      </w:pPr>
      <w:r>
        <w:rPr>
          <w:rFonts w:ascii="Inter" w:cs="Inter" w:eastAsia="Inter" w:hAnsi="Inter"/>
          <w:color w:val="241A2E"/>
          <w:sz w:val="22"/>
          <w:szCs w:val="22"/>
        </w:rPr>
        <w:t xml:space="preserve">Decoding the Code is a self-paced professional development minicourse for Grades 6–12 content-area teachers. It teaches science, math, social studies, and English teachers how to recognize and support students with dyslexia and other reading difficulties by putting structured-literacy principles to work inside their own classrooms (International Dyslexia Association, n.d.). The outcomes below are written for those teachers as the learners.</w:t>
      </w:r>
    </w:p>
    <w:p>
      <w:pPr>
        <w:pBdr>
          <w:bottom w:val="single" w:color="E68117" w:sz="12" w:space="6"/>
        </w:pBdr>
        <w:spacing w:after="120" w:before="300"/>
      </w:pPr>
      <w:r>
        <w:rPr>
          <w:rFonts w:ascii="Fraunces" w:cs="Fraunces" w:eastAsia="Fraunces" w:hAnsi="Fraunces"/>
          <w:b/>
          <w:bCs/>
          <w:color w:val="521482"/>
          <w:sz w:val="30"/>
          <w:szCs w:val="30"/>
        </w:rPr>
        <w:t xml:space="preserve">Course Learning Outcomes</w:t>
      </w:r>
    </w:p>
    <w:p>
      <w:pPr>
        <w:spacing w:after="160" w:line="300"/>
      </w:pPr>
      <w:r>
        <w:rPr>
          <w:rFonts w:ascii="Inter" w:cs="Inter" w:eastAsia="Inter" w:hAnsi="Inter"/>
          <w:i/>
          <w:iCs/>
          <w:color w:val="6A5F74"/>
          <w:sz w:val="22"/>
          <w:szCs w:val="22"/>
        </w:rPr>
        <w:t xml:space="preserve">By the end of this course, learners (Grades 6–12 content-area teachers) will be able to:</w:t>
      </w:r>
    </w:p>
    <w:p>
      <w:pPr>
        <w:pStyle w:val="ListParagraph"/>
        <w:numPr>
          <w:ilvl w:val="0"/>
          <w:numId w:val="2"/>
        </w:numPr>
        <w:spacing w:after="120" w:line="290"/>
      </w:pPr>
      <w:r>
        <w:rPr>
          <w:rFonts w:ascii="Inter" w:cs="Inter" w:eastAsia="Inter" w:hAnsi="Inter"/>
          <w:b/>
          <w:bCs/>
          <w:color w:val="3D0F61"/>
          <w:sz w:val="22"/>
          <w:szCs w:val="22"/>
        </w:rPr>
        <w:t xml:space="preserve">Identify</w:t>
      </w:r>
      <w:r>
        <w:rPr>
          <w:rFonts w:ascii="Inter" w:cs="Inter" w:eastAsia="Inter" w:hAnsi="Inter"/>
          <w:color w:val="241A2E"/>
          <w:sz w:val="22"/>
          <w:szCs w:val="22"/>
        </w:rPr>
        <w:t xml:space="preserve"> the six components of structured literacy — phonology, sound-symbol association, syllable instruction, morphology, syntax, and semantics — and explain how each supports reading in adolescent learners.</w:t>
      </w:r>
    </w:p>
    <w:p>
      <w:pPr>
        <w:pStyle w:val="ListParagraph"/>
        <w:numPr>
          <w:ilvl w:val="0"/>
          <w:numId w:val="2"/>
        </w:numPr>
        <w:spacing w:after="120" w:line="290"/>
      </w:pPr>
      <w:r>
        <w:rPr>
          <w:rFonts w:ascii="Inter" w:cs="Inter" w:eastAsia="Inter" w:hAnsi="Inter"/>
          <w:b/>
          <w:bCs/>
          <w:color w:val="3D0F61"/>
          <w:sz w:val="22"/>
          <w:szCs w:val="22"/>
        </w:rPr>
        <w:t xml:space="preserve">Analyze</w:t>
      </w:r>
      <w:r>
        <w:rPr>
          <w:rFonts w:ascii="Inter" w:cs="Inter" w:eastAsia="Inter" w:hAnsi="Inter"/>
          <w:color w:val="241A2E"/>
          <w:sz w:val="22"/>
          <w:szCs w:val="22"/>
        </w:rPr>
        <w:t xml:space="preserve"> samples of student reading and writing to locate where a decoding, fluency, or comprehension breakdown is happening.</w:t>
      </w:r>
    </w:p>
    <w:p>
      <w:pPr>
        <w:pStyle w:val="ListParagraph"/>
        <w:numPr>
          <w:ilvl w:val="0"/>
          <w:numId w:val="2"/>
        </w:numPr>
        <w:spacing w:after="120" w:line="290"/>
      </w:pPr>
      <w:r>
        <w:rPr>
          <w:rFonts w:ascii="Inter" w:cs="Inter" w:eastAsia="Inter" w:hAnsi="Inter"/>
          <w:b/>
          <w:bCs/>
          <w:color w:val="3D0F61"/>
          <w:sz w:val="22"/>
          <w:szCs w:val="22"/>
        </w:rPr>
        <w:t xml:space="preserve">Apply</w:t>
      </w:r>
      <w:r>
        <w:rPr>
          <w:rFonts w:ascii="Inter" w:cs="Inter" w:eastAsia="Inter" w:hAnsi="Inter"/>
          <w:color w:val="241A2E"/>
          <w:sz w:val="22"/>
          <w:szCs w:val="22"/>
        </w:rPr>
        <w:t xml:space="preserve"> morphology-based strategies — roots, prefixes, and suffixes — to teach the academic vocabulary specific to their content area.</w:t>
      </w:r>
    </w:p>
    <w:p>
      <w:pPr>
        <w:pStyle w:val="ListParagraph"/>
        <w:numPr>
          <w:ilvl w:val="0"/>
          <w:numId w:val="2"/>
        </w:numPr>
        <w:spacing w:after="120" w:line="290"/>
      </w:pPr>
      <w:r>
        <w:rPr>
          <w:rFonts w:ascii="Inter" w:cs="Inter" w:eastAsia="Inter" w:hAnsi="Inter"/>
          <w:b/>
          <w:bCs/>
          <w:color w:val="3D0F61"/>
          <w:sz w:val="22"/>
          <w:szCs w:val="22"/>
        </w:rPr>
        <w:t xml:space="preserve">Design</w:t>
      </w:r>
      <w:r>
        <w:rPr>
          <w:rFonts w:ascii="Inter" w:cs="Inter" w:eastAsia="Inter" w:hAnsi="Inter"/>
          <w:color w:val="241A2E"/>
          <w:sz w:val="22"/>
          <w:szCs w:val="22"/>
        </w:rPr>
        <w:t xml:space="preserve"> a content-area lesson component that carries explicit, multisensory literacy support without lowering the rigor of the material.</w:t>
      </w:r>
    </w:p>
    <w:p>
      <w:pPr>
        <w:pStyle w:val="ListParagraph"/>
        <w:numPr>
          <w:ilvl w:val="0"/>
          <w:numId w:val="2"/>
        </w:numPr>
        <w:spacing w:after="120" w:line="290"/>
      </w:pPr>
      <w:r>
        <w:rPr>
          <w:rFonts w:ascii="Inter" w:cs="Inter" w:eastAsia="Inter" w:hAnsi="Inter"/>
          <w:b/>
          <w:bCs/>
          <w:color w:val="3D0F61"/>
          <w:sz w:val="22"/>
          <w:szCs w:val="22"/>
        </w:rPr>
        <w:t xml:space="preserve">Select</w:t>
      </w:r>
      <w:r>
        <w:rPr>
          <w:rFonts w:ascii="Inter" w:cs="Inter" w:eastAsia="Inter" w:hAnsi="Inter"/>
          <w:color w:val="241A2E"/>
          <w:sz w:val="22"/>
          <w:szCs w:val="22"/>
        </w:rPr>
        <w:t xml:space="preserve"> assistive technologies and accommodations — text-to-speech, decodable digital text, specialized fonts, audio scaffolds — matched to a specific student profile.</w:t>
      </w:r>
    </w:p>
    <w:p>
      <w:pPr>
        <w:pStyle w:val="ListParagraph"/>
        <w:numPr>
          <w:ilvl w:val="0"/>
          <w:numId w:val="2"/>
        </w:numPr>
        <w:spacing w:after="120" w:line="290"/>
      </w:pPr>
      <w:r>
        <w:rPr>
          <w:rFonts w:ascii="Inter" w:cs="Inter" w:eastAsia="Inter" w:hAnsi="Inter"/>
          <w:b/>
          <w:bCs/>
          <w:color w:val="3D0F61"/>
          <w:sz w:val="22"/>
          <w:szCs w:val="22"/>
        </w:rPr>
        <w:t xml:space="preserve">Evaluate</w:t>
      </w:r>
      <w:r>
        <w:rPr>
          <w:rFonts w:ascii="Inter" w:cs="Inter" w:eastAsia="Inter" w:hAnsi="Inter"/>
          <w:color w:val="241A2E"/>
          <w:sz w:val="22"/>
          <w:szCs w:val="22"/>
        </w:rPr>
        <w:t xml:space="preserve"> their own instruction against structured-literacy principles and set one measurable goal for their classroom.</w:t>
      </w:r>
    </w:p>
    <w:p>
      <w:pPr>
        <w:pBdr>
          <w:bottom w:val="single" w:color="E68117" w:sz="12" w:space="6"/>
        </w:pBdr>
        <w:spacing w:after="120" w:before="300"/>
      </w:pPr>
      <w:r>
        <w:rPr>
          <w:rFonts w:ascii="Fraunces" w:cs="Fraunces" w:eastAsia="Fraunces" w:hAnsi="Fraunces"/>
          <w:b/>
          <w:bCs/>
          <w:color w:val="521482"/>
          <w:sz w:val="30"/>
          <w:szCs w:val="30"/>
        </w:rPr>
        <w:t xml:space="preserve">Reflection</w:t>
      </w:r>
    </w:p>
    <w:p>
      <w:pPr>
        <w:spacing w:after="80" w:before="200"/>
      </w:pPr>
      <w:r>
        <w:rPr>
          <w:rFonts w:ascii="Fraunces" w:cs="Fraunces" w:eastAsia="Fraunces" w:hAnsi="Fraunces"/>
          <w:b/>
          <w:bCs/>
          <w:color w:val="3D0F61"/>
          <w:sz w:val="24"/>
          <w:szCs w:val="24"/>
        </w:rPr>
        <w:t xml:space="preserve">1. Outcomes and alignment with the IDD</w:t>
      </w:r>
    </w:p>
    <w:p>
      <w:pPr>
        <w:spacing w:after="160" w:line="300"/>
      </w:pPr>
      <w:r>
        <w:rPr>
          <w:rFonts w:ascii="Inter" w:cs="Inter" w:eastAsia="Inter" w:hAnsi="Inter"/>
          <w:color w:val="241A2E"/>
          <w:sz w:val="22"/>
          <w:szCs w:val="22"/>
        </w:rPr>
        <w:t xml:space="preserve">My six outcomes ask content-area teachers to identify the components of structured literacy, read student work for breakdowns, teach vocabulary through morphology, build a literacy-embedded lesson, match assistive tools to a student profile, and judge their own practice against structured-literacy principles. The learning gap named in my IDD is plain: secondary science, math, and social studies teachers meet struggling and dyslexic readers every day but were never trained in how reading works. Each outcome closes a piece of that gap — shared vocabulary first, then teachers moving into their own classroom text, a usable artifact, and finally a link to real students and a next step. The wider goal in my IDD is that reading support stops living only in the intervention room and starts showing up in every content class. In backward-design terms, these outcomes are my Stage 1 desired results, and every module and assessment points back to them (Wiggins &amp; McTighe, 2005).</w:t>
      </w:r>
    </w:p>
    <w:p>
      <w:pPr>
        <w:spacing w:after="80" w:before="200"/>
      </w:pPr>
      <w:r>
        <w:rPr>
          <w:rFonts w:ascii="Fraunces" w:cs="Fraunces" w:eastAsia="Fraunces" w:hAnsi="Fraunces"/>
          <w:b/>
          <w:bCs/>
          <w:color w:val="3D0F61"/>
          <w:sz w:val="24"/>
          <w:szCs w:val="24"/>
        </w:rPr>
        <w:t xml:space="preserve">2. Learner diversity and differentiation</w:t>
      </w:r>
    </w:p>
    <w:p>
      <w:pPr>
        <w:spacing w:after="160" w:line="300"/>
      </w:pPr>
      <w:r>
        <w:rPr>
          <w:rFonts w:ascii="Inter" w:cs="Inter" w:eastAsia="Inter" w:hAnsi="Inter"/>
          <w:color w:val="241A2E"/>
          <w:sz w:val="22"/>
          <w:szCs w:val="22"/>
        </w:rPr>
        <w:t xml:space="preserve">My learners are not one group. Marcus is early in his career and needs the foundations spelled out. Rosa has taught for years and sees the problem but has no framework for it. David already runs intervention and wants classroom-ready application. I differentiate by prior knowledge with three tracks that share the same outcomes but change the entry point: a foundations track that front-loads the why, a bridge track that starts from what a veteran already notices, and an applied track that moves fast into design. Multiple points of entry to the same outcome is one way I build in the flexibility Universal Design for Learning calls for (CAST, 2018). The biggest barrier, though, is overload. Content-area teachers already carry full plates, and handing them structured literacy all at once is how good intentions become a binder nobody opens. My answer is chunking. Each module breaks into pieces a teacher can finish in about fifteen minutes a day, so the learning fits a prep period instead of a lost weekend. That is Cognitive Load Theory in practice: working memory holds only so much at once, and short, spaced sessions keep the load in check and let each idea settle before the next one arrives (Sweller, 1988).</w:t>
      </w:r>
    </w:p>
    <w:p>
      <w:pPr>
        <w:spacing w:after="80" w:before="200"/>
      </w:pPr>
      <w:r>
        <w:rPr>
          <w:rFonts w:ascii="Fraunces" w:cs="Fraunces" w:eastAsia="Fraunces" w:hAnsi="Fraunces"/>
          <w:b/>
          <w:bCs/>
          <w:color w:val="3D0F61"/>
          <w:sz w:val="24"/>
          <w:szCs w:val="24"/>
        </w:rPr>
        <w:t xml:space="preserve">3. Feedback mechanisms and adaptability</w:t>
      </w:r>
    </w:p>
    <w:p>
      <w:pPr>
        <w:spacing w:after="160" w:line="300"/>
      </w:pPr>
      <w:r>
        <w:rPr>
          <w:rFonts w:ascii="Inter" w:cs="Inter" w:eastAsia="Inter" w:hAnsi="Inter"/>
          <w:color w:val="241A2E"/>
          <w:sz w:val="22"/>
          <w:szCs w:val="22"/>
        </w:rPr>
        <w:t xml:space="preserve">I plan three feedback points. A short self-check opens each module so I can see where a teacher starts. A build-and-submit task in the middle shows whether the outcome is actually landing. An end-of-course reflection asks teachers what they will change on Monday. I will read those responses for patterns. If teachers keep stumbling on morphology, that outcome gets more scaffolding, not more content. Adaptability is not a nicety here; it is the design stance. A self-paced course has no live teacher to catch confusion in the moment, so the record teachers leave behind is the only signal I get, and the course has to be built to change based on it.</w:t>
      </w:r>
    </w:p>
    <w:p>
      <w:pPr>
        <w:pBdr>
          <w:bottom w:val="single" w:color="E68117" w:sz="12" w:space="6"/>
        </w:pBdr>
        <w:spacing w:after="120" w:before="300"/>
      </w:pPr>
      <w:r>
        <w:rPr>
          <w:rFonts w:ascii="Fraunces" w:cs="Fraunces" w:eastAsia="Fraunces" w:hAnsi="Fraunces"/>
          <w:b/>
          <w:bCs/>
          <w:color w:val="521482"/>
          <w:sz w:val="30"/>
          <w:szCs w:val="30"/>
        </w:rPr>
        <w:t xml:space="preserve">References</w:t>
      </w:r>
    </w:p>
    <w:p>
      <w:pPr>
        <w:spacing w:after="120" w:line="280"/>
        <w:ind w:left="720" w:hanging="720"/>
      </w:pPr>
      <w:r>
        <w:rPr>
          <w:rFonts w:ascii="Inter" w:cs="Inter" w:eastAsia="Inter" w:hAnsi="Inter"/>
          <w:color w:val="241A2E"/>
          <w:sz w:val="20"/>
          <w:szCs w:val="20"/>
        </w:rPr>
        <w:t xml:space="preserve">CAST. (2018). </w:t>
      </w:r>
      <w:r>
        <w:rPr>
          <w:rFonts w:ascii="Inter" w:cs="Inter" w:eastAsia="Inter" w:hAnsi="Inter"/>
          <w:i/>
          <w:iCs/>
          <w:color w:val="241A2E"/>
          <w:sz w:val="20"/>
          <w:szCs w:val="20"/>
        </w:rPr>
        <w:t xml:space="preserve">Universal design for learning guidelines version 2.2.</w:t>
      </w:r>
      <w:r>
        <w:rPr>
          <w:rFonts w:ascii="Inter" w:cs="Inter" w:eastAsia="Inter" w:hAnsi="Inter"/>
          <w:color w:val="521482"/>
          <w:sz w:val="20"/>
          <w:szCs w:val="20"/>
        </w:rPr>
        <w:t xml:space="preserve"> https://udlguidelines.cast.org</w:t>
      </w:r>
    </w:p>
    <w:p>
      <w:pPr>
        <w:spacing w:after="120" w:line="280"/>
        <w:ind w:left="720" w:hanging="720"/>
      </w:pPr>
      <w:r>
        <w:rPr>
          <w:rFonts w:ascii="Inter" w:cs="Inter" w:eastAsia="Inter" w:hAnsi="Inter"/>
          <w:color w:val="241A2E"/>
          <w:sz w:val="20"/>
          <w:szCs w:val="20"/>
        </w:rPr>
        <w:t xml:space="preserve">International Dyslexia Association. (n.d.). </w:t>
      </w:r>
      <w:r>
        <w:rPr>
          <w:rFonts w:ascii="Inter" w:cs="Inter" w:eastAsia="Inter" w:hAnsi="Inter"/>
          <w:i/>
          <w:iCs/>
          <w:color w:val="241A2E"/>
          <w:sz w:val="20"/>
          <w:szCs w:val="20"/>
        </w:rPr>
        <w:t xml:space="preserve">Structured literacy: Effective instruction for students with dyslexia and related reading difficulties.</w:t>
      </w:r>
      <w:r>
        <w:rPr>
          <w:rFonts w:ascii="Inter" w:cs="Inter" w:eastAsia="Inter" w:hAnsi="Inter"/>
          <w:color w:val="521482"/>
          <w:sz w:val="20"/>
          <w:szCs w:val="20"/>
        </w:rPr>
        <w:t xml:space="preserve"> https://dyslexiaida.org/structured-literacy-effective-instruction-for-students-with-dyslexia-and-related-reading-difficulties/</w:t>
      </w:r>
    </w:p>
    <w:p>
      <w:pPr>
        <w:spacing w:after="120" w:line="280"/>
        <w:ind w:left="720" w:hanging="720"/>
      </w:pPr>
      <w:r>
        <w:rPr>
          <w:rFonts w:ascii="Inter" w:cs="Inter" w:eastAsia="Inter" w:hAnsi="Inter"/>
          <w:color w:val="241A2E"/>
          <w:sz w:val="20"/>
          <w:szCs w:val="20"/>
        </w:rPr>
        <w:t xml:space="preserve">Sweller, J. (1988). Cognitive load during problem solving: Effects on learning. </w:t>
      </w:r>
      <w:r>
        <w:rPr>
          <w:rFonts w:ascii="Inter" w:cs="Inter" w:eastAsia="Inter" w:hAnsi="Inter"/>
          <w:i/>
          <w:iCs/>
          <w:color w:val="241A2E"/>
          <w:sz w:val="20"/>
          <w:szCs w:val="20"/>
        </w:rPr>
        <w:t xml:space="preserve">Cognitive Science, 12</w:t>
      </w:r>
      <w:r>
        <w:rPr>
          <w:rFonts w:ascii="Inter" w:cs="Inter" w:eastAsia="Inter" w:hAnsi="Inter"/>
          <w:color w:val="241A2E"/>
          <w:sz w:val="20"/>
          <w:szCs w:val="20"/>
        </w:rPr>
        <w:t xml:space="preserve">(2), 257–285. https://doi.org/10.1207/s15516709cog1202_4</w:t>
      </w:r>
    </w:p>
    <w:p>
      <w:pPr>
        <w:spacing w:after="120" w:line="280"/>
        <w:ind w:left="720" w:hanging="720"/>
      </w:pPr>
      <w:r>
        <w:rPr>
          <w:rFonts w:ascii="Inter" w:cs="Inter" w:eastAsia="Inter" w:hAnsi="Inter"/>
          <w:color w:val="241A2E"/>
          <w:sz w:val="20"/>
          <w:szCs w:val="20"/>
        </w:rPr>
        <w:t xml:space="preserve">Wiggins, G., &amp; McTighe, J. (2005). </w:t>
      </w:r>
      <w:r>
        <w:rPr>
          <w:rFonts w:ascii="Inter" w:cs="Inter" w:eastAsia="Inter" w:hAnsi="Inter"/>
          <w:i/>
          <w:iCs/>
          <w:color w:val="241A2E"/>
          <w:sz w:val="20"/>
          <w:szCs w:val="20"/>
        </w:rPr>
        <w:t xml:space="preserve">Understanding by design</w:t>
      </w:r>
      <w:r>
        <w:rPr>
          <w:rFonts w:ascii="Inter" w:cs="Inter" w:eastAsia="Inter" w:hAnsi="Inter"/>
          <w:color w:val="241A2E"/>
          <w:sz w:val="20"/>
          <w:szCs w:val="20"/>
        </w:rPr>
        <w:t xml:space="preserve"> (2nd ed.). Association for Supervision and Curriculum Development.</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E681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color w:val="24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LDTC 605 Unit 4 — Course Learning Outcomes and Reflection</dc:title>
  <dc:creator>Tenneh C. Freeman</dc:creator>
  <cp:lastModifiedBy>Un-named</cp:lastModifiedBy>
  <cp:revision>1</cp:revision>
  <dcterms:created xsi:type="dcterms:W3CDTF">2026-07-05T06:02:51.583Z</dcterms:created>
  <dcterms:modified xsi:type="dcterms:W3CDTF">2026-07-05T06:02:51.596Z</dcterms:modified>
</cp:coreProperties>
</file>

<file path=docProps/custom.xml><?xml version="1.0" encoding="utf-8"?>
<Properties xmlns="http://schemas.openxmlformats.org/officeDocument/2006/custom-properties" xmlns:vt="http://schemas.openxmlformats.org/officeDocument/2006/docPropsVTypes"/>
</file>