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auto" w:sz="0"/>
          <w:left w:val="none" w:color="auto" w:sz="0"/>
          <w:bottom w:val="none" w:color="auto" w:sz="0"/>
          <w:right w:val="none" w:color="auto" w:sz="0"/>
          <w:insideH w:val="none" w:color="auto" w:sz="0"/>
          <w:insideV w:val="none" w:color="auto" w:sz="0"/>
        </w:tblBorders>
      </w:tblPr>
      <w:tblGrid>
        <w:gridCol w:w="9360"/>
      </w:tblGrid>
      <w:tr>
        <w:tc>
          <w:tcPr>
            <w:tcW w:type="dxa" w:w="9360"/>
            <w:tcBorders>
              <w:top w:val="none" w:color="auto" w:sz="0"/>
              <w:left w:val="none" w:color="auto" w:sz="0"/>
              <w:bottom w:val="single" w:color="E68117" w:sz="24" w:space="0"/>
              <w:right w:val="none" w:color="auto" w:sz="0"/>
            </w:tcBorders>
            <w:shd w:fill="521482" w:color="auto" w:val="clear"/>
            <w:tcMar>
              <w:top w:type="dxa" w:w="480"/>
              <w:left w:type="dxa" w:w="480"/>
              <w:bottom w:type="dxa" w:w="480"/>
              <w:right w:type="dxa" w:w="480"/>
            </w:tcMar>
          </w:tcPr>
          <w:p>
            <w:pPr>
              <w:spacing w:after="80" w:before="0"/>
            </w:pPr>
            <w:r>
              <w:rPr>
                <w:rFonts w:ascii="Calibri" w:cs="Calibri" w:eastAsia="Calibri" w:hAnsi="Calibri"/>
                <w:b/>
                <w:bCs/>
                <w:color w:val="E68117"/>
                <w:spacing w:val="30"/>
                <w:sz w:val="16"/>
                <w:szCs w:val="16"/>
              </w:rPr>
              <w:t xml:space="preserve">LDTC 605 · UNIT 3 ASSIGNMENT</w:t>
            </w:r>
          </w:p>
          <w:p>
            <w:pPr>
              <w:spacing w:after="120" w:before="0"/>
            </w:pPr>
            <w:r>
              <w:rPr>
                <w:rFonts w:ascii="Cambria" w:cs="Cambria" w:eastAsia="Cambria" w:hAnsi="Cambria"/>
                <w:b/>
                <w:bCs/>
                <w:color w:val="FAF6EE"/>
                <w:sz w:val="48"/>
                <w:szCs w:val="48"/>
              </w:rPr>
              <w:t xml:space="preserve">Course Type, Modality,</w:t>
            </w:r>
          </w:p>
          <w:p>
            <w:pPr>
              <w:spacing w:after="200" w:before="0"/>
            </w:pPr>
            <w:r>
              <w:rPr>
                <w:rFonts w:ascii="Cambria" w:cs="Cambria" w:eastAsia="Cambria" w:hAnsi="Cambria"/>
                <w:b/>
                <w:bCs/>
                <w:color w:val="E68117"/>
                <w:sz w:val="48"/>
                <w:szCs w:val="48"/>
              </w:rPr>
              <w:t xml:space="preserve">&amp; Reflection</w:t>
            </w:r>
          </w:p>
          <w:p>
            <w:pPr>
              <w:spacing w:after="80" w:before="0" w:line="320"/>
            </w:pPr>
            <w:r>
              <w:rPr>
                <w:rFonts w:ascii="Calibri" w:cs="Calibri" w:eastAsia="Calibri" w:hAnsi="Calibri"/>
                <w:color w:val="FAF6EE"/>
                <w:sz w:val="22"/>
                <w:szCs w:val="22"/>
              </w:rPr>
              <w:t xml:space="preserve">A working draft of the course type and modality for </w:t>
            </w:r>
            <w:r>
              <w:rPr>
                <w:rFonts w:ascii="Calibri" w:cs="Calibri" w:eastAsia="Calibri" w:hAnsi="Calibri"/>
                <w:i/>
                <w:iCs/>
                <w:color w:val="FAF6EE"/>
                <w:sz w:val="22"/>
                <w:szCs w:val="22"/>
              </w:rPr>
              <w:t xml:space="preserve">Decoding the Code</w:t>
            </w:r>
            <w:r>
              <w:rPr>
                <w:rFonts w:ascii="Calibri" w:cs="Calibri" w:eastAsia="Calibri" w:hAnsi="Calibri"/>
                <w:color w:val="FAF6EE"/>
                <w:sz w:val="22"/>
                <w:szCs w:val="22"/>
              </w:rPr>
              <w:t xml:space="preserve"> — a structured literacy minicourse for secondary educators — followed by a 500-word reflection on diverse learning preferences, learner barriers, and instructional design model fit.</w:t>
            </w:r>
          </w:p>
          <w:p>
            <w:pPr>
              <w:spacing w:after="0" w:before="240"/>
            </w:pPr>
            <w:r>
              <w:rPr>
                <w:rFonts w:ascii="Calibri" w:cs="Calibri" w:eastAsia="Calibri" w:hAnsi="Calibri"/>
                <w:b/>
                <w:bCs/>
                <w:color w:val="FAF6EE"/>
                <w:spacing w:val="20"/>
                <w:sz w:val="18"/>
                <w:szCs w:val="18"/>
              </w:rPr>
              <w:t xml:space="preserve">TENNEH C. FREEMAN</w:t>
            </w:r>
            <w:r>
              <w:rPr>
                <w:rFonts w:ascii="Calibri" w:cs="Calibri" w:eastAsia="Calibri" w:hAnsi="Calibri"/>
                <w:color w:val="E68117"/>
                <w:sz w:val="18"/>
                <w:szCs w:val="18"/>
              </w:rPr>
              <w:t xml:space="preserve">   ·   </w:t>
            </w:r>
            <w:r>
              <w:rPr>
                <w:rFonts w:ascii="Calibri" w:cs="Calibri" w:eastAsia="Calibri" w:hAnsi="Calibri"/>
                <w:color w:val="FAF6EE"/>
                <w:spacing w:val="20"/>
                <w:sz w:val="18"/>
                <w:szCs w:val="18"/>
              </w:rPr>
              <w:t xml:space="preserve">UMGC</w:t>
            </w:r>
            <w:r>
              <w:rPr>
                <w:rFonts w:ascii="Calibri" w:cs="Calibri" w:eastAsia="Calibri" w:hAnsi="Calibri"/>
                <w:color w:val="E68117"/>
                <w:sz w:val="18"/>
                <w:szCs w:val="18"/>
              </w:rPr>
              <w:t xml:space="preserve">   ·   </w:t>
            </w:r>
            <w:r>
              <w:rPr>
                <w:rFonts w:ascii="Calibri" w:cs="Calibri" w:eastAsia="Calibri" w:hAnsi="Calibri"/>
                <w:color w:val="FAF6EE"/>
                <w:spacing w:val="20"/>
                <w:sz w:val="18"/>
                <w:szCs w:val="18"/>
              </w:rPr>
              <w:t xml:space="preserve">JUNE 2026</w:t>
            </w:r>
          </w:p>
        </w:tc>
      </w:tr>
    </w:tbl>
    <w:p>
      <w:pPr>
        <w:spacing w:after="160" w:before="160"/>
      </w:pPr>
      <w:r>
        <w:t xml:space="preserve"/>
      </w:r>
    </w:p>
    <w:p>
      <w:pPr>
        <w:pBdr>
          <w:bottom w:val="single" w:color="E68117" w:sz="12" w:space="6"/>
        </w:pBdr>
        <w:spacing w:after="140" w:before="320"/>
      </w:pPr>
      <w:r>
        <w:rPr>
          <w:rFonts w:ascii="Cambria" w:cs="Cambria" w:eastAsia="Cambria" w:hAnsi="Cambria"/>
          <w:b/>
          <w:bCs/>
          <w:color w:val="521482"/>
          <w:sz w:val="30"/>
          <w:szCs w:val="30"/>
        </w:rPr>
        <w:t xml:space="preserve">Course Type</w:t>
      </w:r>
    </w:p>
    <w:p>
      <w:pPr>
        <w:spacing w:after="160" w:before="0" w:line="320"/>
        <w:jc w:val="both"/>
      </w:pPr>
      <w:r>
        <w:rPr>
          <w:rFonts w:ascii="Calibri" w:cs="Calibri" w:eastAsia="Calibri" w:hAnsi="Calibri"/>
          <w:b w:val="false"/>
          <w:bCs w:val="false"/>
          <w:i/>
          <w:iCs/>
          <w:color w:val="1A0F2B"/>
          <w:sz w:val="22"/>
          <w:szCs w:val="22"/>
        </w:rPr>
        <w:t xml:space="preserve">Decoding the Code</w:t>
      </w:r>
      <w:r>
        <w:rPr>
          <w:rFonts w:ascii="Calibri" w:cs="Calibri" w:eastAsia="Calibri" w:hAnsi="Calibri"/>
          <w:b w:val="false"/>
          <w:bCs w:val="false"/>
          <w:i w:val="false"/>
          <w:iCs w:val="false"/>
          <w:color w:val="1A0F2B"/>
          <w:sz w:val="22"/>
          <w:szCs w:val="22"/>
        </w:rPr>
        <w:t xml:space="preserve"> is a self-paced asynchronous professional development minicourse built for practicing 6–12 content-area teachers in general education, special education, and ELAR, social studies, and science classrooms. The course runs across four short modules — Reading Brain, Adolescent Reader Profiles, Structured Literacy Moves for Secondary Settings, and Implementation in Your Subject Area — and finishes with a teacher-ready toolkit learners can use in their next class period.</w:t>
      </w:r>
    </w:p>
    <w:p>
      <w:pPr>
        <w:spacing w:after="160" w:before="0" w:line="320"/>
        <w:jc w:val="both"/>
      </w:pPr>
      <w:r>
        <w:rPr>
          <w:rFonts w:ascii="Calibri" w:cs="Calibri" w:eastAsia="Calibri" w:hAnsi="Calibri"/>
          <w:i w:val="false"/>
          <w:iCs w:val="false"/>
          <w:color w:val="1A0F2B"/>
          <w:sz w:val="22"/>
          <w:szCs w:val="22"/>
        </w:rPr>
        <w:t xml:space="preserve">A minicourse is the right format because the learning gap is specific and bounded. Secondary teachers need foundational structured literacy knowledge translated into age-respectful classroom moves, not a full reading specialist certification. Short focused professional development respects what the audience can realistically absorb and apply between Monday and Friday, and it matches the way most districts already deliver continuing education credit (International Dyslexia Association, 2020; Texas Education Agency, 2024).</w:t>
      </w:r>
    </w:p>
    <w:p>
      <w:pPr>
        <w:pBdr>
          <w:bottom w:val="single" w:color="E68117" w:sz="12" w:space="6"/>
        </w:pBdr>
        <w:spacing w:after="140" w:before="320"/>
      </w:pPr>
      <w:r>
        <w:rPr>
          <w:rFonts w:ascii="Cambria" w:cs="Cambria" w:eastAsia="Cambria" w:hAnsi="Cambria"/>
          <w:b/>
          <w:bCs/>
          <w:color w:val="521482"/>
          <w:sz w:val="30"/>
          <w:szCs w:val="30"/>
        </w:rPr>
        <w:t xml:space="preserve">Course Modality</w:t>
      </w:r>
    </w:p>
    <w:p>
      <w:pPr>
        <w:spacing w:after="160" w:before="0" w:line="320"/>
        <w:jc w:val="both"/>
      </w:pPr>
      <w:r>
        <w:rPr>
          <w:rFonts w:ascii="Calibri" w:cs="Calibri" w:eastAsia="Calibri" w:hAnsi="Calibri"/>
          <w:i w:val="false"/>
          <w:iCs w:val="false"/>
          <w:color w:val="1A0F2B"/>
          <w:sz w:val="22"/>
          <w:szCs w:val="22"/>
        </w:rPr>
        <w:t xml:space="preserve">The minicourse runs fully online and asynchronously, hosted in Articulate Rise or a Canvas instance, with one optional 30-minute live coaching call per module. Every concept is delivered in at least two modalities — captioned video, downloadable transcript, and a visual organizer — and the culminating performance task offers three submission formats: a written lesson plan, an annotated lesson video, or a recorded think-aloud. This design honors all three UDL principles directly — optional coaching for engagement, multimodal content for representation, and three submission formats for action and expression (CAST, 2018).</w:t>
      </w:r>
    </w:p>
    <w:p>
      <w:pPr>
        <w:spacing w:after="160" w:before="0" w:line="320"/>
        <w:jc w:val="both"/>
      </w:pPr>
      <w:r>
        <w:rPr>
          <w:rFonts w:ascii="Calibri" w:cs="Calibri" w:eastAsia="Calibri" w:hAnsi="Calibri"/>
          <w:i w:val="false"/>
          <w:iCs w:val="false"/>
          <w:color w:val="1A0F2B"/>
          <w:sz w:val="22"/>
          <w:szCs w:val="22"/>
        </w:rPr>
        <w:t xml:space="preserve">This modality is the only one that reaches secondary teachers nationwide while respecting the actual working conditions of a classroom educator who teaches six class periods, runs two duty stations, and has no consistent block of time. It also models Universal Design for Learning for the very educators who will go on to design instruction for students with dyslexia (CAST, 2018).</w:t>
      </w:r>
    </w:p>
    <w:p>
      <w:pPr>
        <w:pBdr>
          <w:bottom w:val="single" w:color="E68117" w:sz="12" w:space="6"/>
        </w:pBdr>
        <w:spacing w:after="140" w:before="320"/>
      </w:pPr>
      <w:r>
        <w:rPr>
          <w:rFonts w:ascii="Cambria" w:cs="Cambria" w:eastAsia="Cambria" w:hAnsi="Cambria"/>
          <w:b/>
          <w:bCs/>
          <w:color w:val="521482"/>
          <w:sz w:val="30"/>
          <w:szCs w:val="30"/>
        </w:rPr>
        <w:t xml:space="preserve">Reflection</w:t>
      </w:r>
    </w:p>
    <w:p>
      <w:pPr>
        <w:spacing w:after="200" w:before="0"/>
      </w:pPr>
      <w:r>
        <w:rPr>
          <w:rFonts w:ascii="Calibri" w:cs="Calibri" w:eastAsia="Calibri" w:hAnsi="Calibri"/>
          <w:i/>
          <w:iCs/>
          <w:color w:val="3A0E5E"/>
          <w:sz w:val="20"/>
          <w:szCs w:val="20"/>
        </w:rPr>
        <w:t xml:space="preserve">The three reflection questions below are addressed in 484 words.</w:t>
      </w:r>
    </w:p>
    <w:p>
      <w:pPr>
        <w:spacing w:after="80" w:before="220"/>
      </w:pPr>
      <w:r>
        <w:rPr>
          <w:rFonts w:ascii="Cambria" w:cs="Cambria" w:eastAsia="Cambria" w:hAnsi="Cambria"/>
          <w:b/>
          <w:bCs/>
          <w:i/>
          <w:iCs/>
          <w:color w:val="3A0E5E"/>
          <w:sz w:val="24"/>
          <w:szCs w:val="24"/>
        </w:rPr>
        <w:t xml:space="preserve">1. Diverse learning preferences and needs</w:t>
      </w:r>
    </w:p>
    <w:p>
      <w:pPr>
        <w:spacing w:after="160" w:before="0" w:line="320"/>
        <w:jc w:val="both"/>
      </w:pPr>
      <w:r>
        <w:rPr>
          <w:rFonts w:ascii="Calibri" w:cs="Calibri" w:eastAsia="Calibri" w:hAnsi="Calibri"/>
          <w:b w:val="false"/>
          <w:bCs w:val="false"/>
          <w:i w:val="false"/>
          <w:iCs w:val="false"/>
          <w:color w:val="1A0F2B"/>
          <w:sz w:val="22"/>
          <w:szCs w:val="22"/>
        </w:rPr>
        <w:t xml:space="preserve">The audience for </w:t>
      </w:r>
      <w:r>
        <w:rPr>
          <w:rFonts w:ascii="Calibri" w:cs="Calibri" w:eastAsia="Calibri" w:hAnsi="Calibri"/>
          <w:b w:val="false"/>
          <w:bCs w:val="false"/>
          <w:i/>
          <w:iCs/>
          <w:color w:val="1A0F2B"/>
          <w:sz w:val="22"/>
          <w:szCs w:val="22"/>
        </w:rPr>
        <w:t xml:space="preserve">Decoding the Code</w:t>
      </w:r>
      <w:r>
        <w:rPr>
          <w:rFonts w:ascii="Calibri" w:cs="Calibri" w:eastAsia="Calibri" w:hAnsi="Calibri"/>
          <w:b w:val="false"/>
          <w:bCs w:val="false"/>
          <w:i w:val="false"/>
          <w:iCs w:val="false"/>
          <w:color w:val="1A0F2B"/>
          <w:sz w:val="22"/>
          <w:szCs w:val="22"/>
        </w:rPr>
        <w:t xml:space="preserve"> is the most uneven group I have ever designed for. Some teachers carry Orton-Gillingham certification and a decade of intervention work; others have never been taught what a phoneme is. A self-paced asynchronous modality is what makes that range survivable. Teachers with prior structured literacy training can move quickly through the foundational content and spend their time on application, while teachers new to the work can sit with the reading brain content as long as they need to. The three submission formats for the culminating performance task let teachers demonstrate mastery through the medium that matches their professional voice and their week. This is UDL doing its actual job: the same rubric, three legitimate paths in (CAST, 2018). Adult learners also bring decades of self-directed professional habits, and a self-paced format honors that autonomy in a way mandatory district PD rarely does (Knowles, 1980).</w:t>
      </w:r>
    </w:p>
    <w:p>
      <w:pPr>
        <w:spacing w:after="80" w:before="220"/>
      </w:pPr>
      <w:r>
        <w:rPr>
          <w:rFonts w:ascii="Cambria" w:cs="Cambria" w:eastAsia="Cambria" w:hAnsi="Cambria"/>
          <w:b/>
          <w:bCs/>
          <w:i/>
          <w:iCs/>
          <w:color w:val="3A0E5E"/>
          <w:sz w:val="24"/>
          <w:szCs w:val="24"/>
        </w:rPr>
        <w:t xml:space="preserve">2. Potential barriers and mitigation</w:t>
      </w:r>
    </w:p>
    <w:p>
      <w:pPr>
        <w:spacing w:after="160" w:before="0" w:line="320"/>
        <w:jc w:val="both"/>
      </w:pPr>
      <w:r>
        <w:rPr>
          <w:rFonts w:ascii="Calibri" w:cs="Calibri" w:eastAsia="Calibri" w:hAnsi="Calibri"/>
          <w:i w:val="false"/>
          <w:iCs w:val="false"/>
          <w:color w:val="1A0F2B"/>
          <w:sz w:val="22"/>
          <w:szCs w:val="22"/>
        </w:rPr>
        <w:t xml:space="preserve">Three barriers are real and predictable. The first is technology access. Some teachers work on district laptops with restricted permissions, no microphone privileges, and aggressive web filters. The mitigation is to build the course on platforms that work inside school networks and to design every assessment so it can be completed on a phone if a laptop fails.</w:t>
      </w:r>
    </w:p>
    <w:p>
      <w:pPr>
        <w:spacing w:after="160" w:before="0" w:line="320"/>
        <w:jc w:val="both"/>
      </w:pPr>
      <w:r>
        <w:rPr>
          <w:rFonts w:ascii="Calibri" w:cs="Calibri" w:eastAsia="Calibri" w:hAnsi="Calibri"/>
          <w:i w:val="false"/>
          <w:iCs w:val="false"/>
          <w:color w:val="1A0F2B"/>
          <w:sz w:val="22"/>
          <w:szCs w:val="22"/>
        </w:rPr>
        <w:t xml:space="preserve">The second barrier is motivation. Adult learners drop self-paced PD all the time, and structured literacy content can feel overwhelming for a teacher who has been told for years that reading instruction is not their job. The mitigation is module-level micro-wins — each module ends with a single classroom move the teacher can try on Monday — plus the optional 30-minute live coaching call that gives a human touchpoint without forcing one.</w:t>
      </w:r>
    </w:p>
    <w:p>
      <w:pPr>
        <w:spacing w:after="160" w:before="0" w:line="320"/>
        <w:jc w:val="both"/>
      </w:pPr>
      <w:r>
        <w:rPr>
          <w:rFonts w:ascii="Calibri" w:cs="Calibri" w:eastAsia="Calibri" w:hAnsi="Calibri"/>
          <w:i w:val="false"/>
          <w:iCs w:val="false"/>
          <w:color w:val="1A0F2B"/>
          <w:sz w:val="22"/>
          <w:szCs w:val="22"/>
        </w:rPr>
        <w:t xml:space="preserve">The third barrier is accessibility for neurodivergent adult learners, including teachers with dyslexia. The course teaches educators to serve students with dyslexia; it cannot exclude the adult learners who share that profile. Captioned video, downloadable transcripts, dyslexia-friendly fonts such as Atkinson Hyperlegible or Lexend, and inline audio glossary entries are built in from day one, not retrofitted (CAST, 2018; International Dyslexia Association, 2020).</w:t>
      </w:r>
    </w:p>
    <w:p>
      <w:pPr>
        <w:spacing w:after="80" w:before="220"/>
      </w:pPr>
      <w:r>
        <w:rPr>
          <w:rFonts w:ascii="Cambria" w:cs="Cambria" w:eastAsia="Cambria" w:hAnsi="Cambria"/>
          <w:b/>
          <w:bCs/>
          <w:i/>
          <w:iCs/>
          <w:color w:val="3A0E5E"/>
          <w:sz w:val="24"/>
          <w:szCs w:val="24"/>
        </w:rPr>
        <w:t xml:space="preserve">3. ADDIE vs. Dick and Carey for this minicourse</w:t>
      </w:r>
    </w:p>
    <w:p>
      <w:pPr>
        <w:spacing w:after="160" w:before="0" w:line="320"/>
        <w:jc w:val="both"/>
      </w:pPr>
      <w:r>
        <w:rPr>
          <w:rFonts w:ascii="Calibri" w:cs="Calibri" w:eastAsia="Calibri" w:hAnsi="Calibri"/>
          <w:i w:val="false"/>
          <w:iCs w:val="false"/>
          <w:color w:val="1A0F2B"/>
          <w:sz w:val="22"/>
          <w:szCs w:val="22"/>
        </w:rPr>
        <w:t xml:space="preserve">For this specific minicourse — self-paced, asynchronous, single-designer build — Dick and Carey is the stronger fit. ADDIE is the right framework when a design team is moving in formal phases with documentation handoffs between them. I am a solo designer working at the speed of a graduate semester. Dick and Carey gives me what ADDIE does not: a built-in step 8 (formative evaluation) that fits the iterative web-development workflow I already use, and an entry-behavior step (step 3) that maps cleanly onto the wildly uneven prior knowledge of secondary teachers. ADDIE's phases would force a linearity I cannot afford. Dick and Carey lets me design objective by objective, assessment by assessment, and revise as evidence comes in (Branch, 2009; Dick et al., 2015).</w:t>
      </w:r>
    </w:p>
    <w:p>
      <w:pPr>
        <w:pBdr>
          <w:bottom w:val="single" w:color="E68117" w:sz="12" w:space="6"/>
        </w:pBdr>
        <w:spacing w:after="140" w:before="320"/>
      </w:pPr>
      <w:r>
        <w:rPr>
          <w:rFonts w:ascii="Cambria" w:cs="Cambria" w:eastAsia="Cambria" w:hAnsi="Cambria"/>
          <w:b/>
          <w:bCs/>
          <w:color w:val="521482"/>
          <w:sz w:val="30"/>
          <w:szCs w:val="30"/>
        </w:rPr>
        <w:t xml:space="preserve">References</w:t>
      </w:r>
    </w:p>
    <w:p>
      <w:pPr>
        <w:spacing w:after="140" w:before="0" w:line="280"/>
        <w:ind w:left="720" w:hanging="720"/>
      </w:pPr>
      <w:r>
        <w:rPr>
          <w:rFonts w:ascii="Calibri" w:cs="Calibri" w:eastAsia="Calibri" w:hAnsi="Calibri"/>
          <w:i w:val="false"/>
          <w:iCs w:val="false"/>
          <w:color w:val="1A0F2B"/>
          <w:sz w:val="22"/>
          <w:szCs w:val="22"/>
        </w:rPr>
        <w:t xml:space="preserve">Branch, R. M. (2009). </w:t>
      </w:r>
      <w:r>
        <w:rPr>
          <w:rFonts w:ascii="Calibri" w:cs="Calibri" w:eastAsia="Calibri" w:hAnsi="Calibri"/>
          <w:i/>
          <w:iCs/>
          <w:color w:val="1A0F2B"/>
          <w:sz w:val="22"/>
          <w:szCs w:val="22"/>
        </w:rPr>
        <w:t xml:space="preserve">Instructional design: The ADDIE approach</w:t>
      </w:r>
      <w:r>
        <w:rPr>
          <w:rFonts w:ascii="Calibri" w:cs="Calibri" w:eastAsia="Calibri" w:hAnsi="Calibri"/>
          <w:i w:val="false"/>
          <w:iCs w:val="false"/>
          <w:color w:val="1A0F2B"/>
          <w:sz w:val="22"/>
          <w:szCs w:val="22"/>
        </w:rPr>
        <w:t xml:space="preserve">. Springer.</w:t>
      </w:r>
    </w:p>
    <w:p>
      <w:pPr>
        <w:spacing w:after="140" w:before="0" w:line="280"/>
        <w:ind w:left="720" w:hanging="720"/>
      </w:pPr>
      <w:r>
        <w:rPr>
          <w:rFonts w:ascii="Calibri" w:cs="Calibri" w:eastAsia="Calibri" w:hAnsi="Calibri"/>
          <w:i w:val="false"/>
          <w:iCs w:val="false"/>
          <w:color w:val="1A0F2B"/>
          <w:sz w:val="22"/>
          <w:szCs w:val="22"/>
        </w:rPr>
        <w:t xml:space="preserve">CAST. (2018). </w:t>
      </w:r>
      <w:r>
        <w:rPr>
          <w:rFonts w:ascii="Calibri" w:cs="Calibri" w:eastAsia="Calibri" w:hAnsi="Calibri"/>
          <w:i/>
          <w:iCs/>
          <w:color w:val="1A0F2B"/>
          <w:sz w:val="22"/>
          <w:szCs w:val="22"/>
        </w:rPr>
        <w:t xml:space="preserve">Universal design for learning guidelines version 2.2</w:t>
      </w:r>
      <w:r>
        <w:rPr>
          <w:rFonts w:ascii="Calibri" w:cs="Calibri" w:eastAsia="Calibri" w:hAnsi="Calibri"/>
          <w:i w:val="false"/>
          <w:iCs w:val="false"/>
          <w:color w:val="1A0F2B"/>
          <w:sz w:val="22"/>
          <w:szCs w:val="22"/>
        </w:rPr>
        <w:t xml:space="preserve">. https://udlguidelines.cast.org</w:t>
      </w:r>
    </w:p>
    <w:p>
      <w:pPr>
        <w:spacing w:after="140" w:before="0" w:line="280"/>
        <w:ind w:left="720" w:hanging="720"/>
      </w:pPr>
      <w:r>
        <w:rPr>
          <w:rFonts w:ascii="Calibri" w:cs="Calibri" w:eastAsia="Calibri" w:hAnsi="Calibri"/>
          <w:i w:val="false"/>
          <w:iCs w:val="false"/>
          <w:color w:val="1A0F2B"/>
          <w:sz w:val="22"/>
          <w:szCs w:val="22"/>
        </w:rPr>
        <w:t xml:space="preserve">Dick, W., Carey, L., &amp; Carey, J. O. (2015). </w:t>
      </w:r>
      <w:r>
        <w:rPr>
          <w:rFonts w:ascii="Calibri" w:cs="Calibri" w:eastAsia="Calibri" w:hAnsi="Calibri"/>
          <w:i/>
          <w:iCs/>
          <w:color w:val="1A0F2B"/>
          <w:sz w:val="22"/>
          <w:szCs w:val="22"/>
        </w:rPr>
        <w:t xml:space="preserve">The systematic design of instruction</w:t>
      </w:r>
      <w:r>
        <w:rPr>
          <w:rFonts w:ascii="Calibri" w:cs="Calibri" w:eastAsia="Calibri" w:hAnsi="Calibri"/>
          <w:i w:val="false"/>
          <w:iCs w:val="false"/>
          <w:color w:val="1A0F2B"/>
          <w:sz w:val="22"/>
          <w:szCs w:val="22"/>
        </w:rPr>
        <w:t xml:space="preserve"> (8th ed.). Pearson.</w:t>
      </w:r>
    </w:p>
    <w:p>
      <w:pPr>
        <w:spacing w:after="140" w:before="0" w:line="280"/>
        <w:ind w:left="720" w:hanging="720"/>
      </w:pPr>
      <w:r>
        <w:rPr>
          <w:rFonts w:ascii="Calibri" w:cs="Calibri" w:eastAsia="Calibri" w:hAnsi="Calibri"/>
          <w:i w:val="false"/>
          <w:iCs w:val="false"/>
          <w:color w:val="1A0F2B"/>
          <w:sz w:val="22"/>
          <w:szCs w:val="22"/>
        </w:rPr>
        <w:t xml:space="preserve">International Dyslexia Association. (2020). </w:t>
      </w:r>
      <w:r>
        <w:rPr>
          <w:rFonts w:ascii="Calibri" w:cs="Calibri" w:eastAsia="Calibri" w:hAnsi="Calibri"/>
          <w:i/>
          <w:iCs/>
          <w:color w:val="1A0F2B"/>
          <w:sz w:val="22"/>
          <w:szCs w:val="22"/>
        </w:rPr>
        <w:t xml:space="preserve">Dyslexia basics</w:t>
      </w:r>
      <w:r>
        <w:rPr>
          <w:rFonts w:ascii="Calibri" w:cs="Calibri" w:eastAsia="Calibri" w:hAnsi="Calibri"/>
          <w:i w:val="false"/>
          <w:iCs w:val="false"/>
          <w:color w:val="1A0F2B"/>
          <w:sz w:val="22"/>
          <w:szCs w:val="22"/>
        </w:rPr>
        <w:t xml:space="preserve">. https://dyslexiaida.org/dyslexia-basics/</w:t>
      </w:r>
    </w:p>
    <w:p>
      <w:pPr>
        <w:spacing w:after="140" w:before="0" w:line="280"/>
        <w:ind w:left="720" w:hanging="720"/>
      </w:pPr>
      <w:r>
        <w:rPr>
          <w:rFonts w:ascii="Calibri" w:cs="Calibri" w:eastAsia="Calibri" w:hAnsi="Calibri"/>
          <w:i w:val="false"/>
          <w:iCs w:val="false"/>
          <w:color w:val="1A0F2B"/>
          <w:sz w:val="22"/>
          <w:szCs w:val="22"/>
        </w:rPr>
        <w:t xml:space="preserve">Knowles, M. S. (1980). </w:t>
      </w:r>
      <w:r>
        <w:rPr>
          <w:rFonts w:ascii="Calibri" w:cs="Calibri" w:eastAsia="Calibri" w:hAnsi="Calibri"/>
          <w:i/>
          <w:iCs/>
          <w:color w:val="1A0F2B"/>
          <w:sz w:val="22"/>
          <w:szCs w:val="22"/>
        </w:rPr>
        <w:t xml:space="preserve">The modern practice of adult education: From pedagogy to andragogy</w:t>
      </w:r>
      <w:r>
        <w:rPr>
          <w:rFonts w:ascii="Calibri" w:cs="Calibri" w:eastAsia="Calibri" w:hAnsi="Calibri"/>
          <w:i w:val="false"/>
          <w:iCs w:val="false"/>
          <w:color w:val="1A0F2B"/>
          <w:sz w:val="22"/>
          <w:szCs w:val="22"/>
        </w:rPr>
        <w:t xml:space="preserve"> (2nd ed.). Cambridge Books.</w:t>
      </w:r>
    </w:p>
    <w:p>
      <w:pPr>
        <w:spacing w:after="140" w:before="0" w:line="280"/>
        <w:ind w:left="720" w:hanging="720"/>
      </w:pPr>
      <w:r>
        <w:rPr>
          <w:rFonts w:ascii="Calibri" w:cs="Calibri" w:eastAsia="Calibri" w:hAnsi="Calibri"/>
          <w:i w:val="false"/>
          <w:iCs w:val="false"/>
          <w:color w:val="1A0F2B"/>
          <w:sz w:val="22"/>
          <w:szCs w:val="22"/>
        </w:rPr>
        <w:t xml:space="preserve">Texas Education Agency. (2024). </w:t>
      </w:r>
      <w:r>
        <w:rPr>
          <w:rFonts w:ascii="Calibri" w:cs="Calibri" w:eastAsia="Calibri" w:hAnsi="Calibri"/>
          <w:i/>
          <w:iCs/>
          <w:color w:val="1A0F2B"/>
          <w:sz w:val="22"/>
          <w:szCs w:val="22"/>
        </w:rPr>
        <w:t xml:space="preserve">The dyslexia handbook: Procedures concerning dyslexia and related disorders</w:t>
      </w:r>
      <w:r>
        <w:rPr>
          <w:rFonts w:ascii="Calibri" w:cs="Calibri" w:eastAsia="Calibri" w:hAnsi="Calibri"/>
          <w:i w:val="false"/>
          <w:iCs w:val="false"/>
          <w:color w:val="1A0F2B"/>
          <w:sz w:val="22"/>
          <w:szCs w:val="22"/>
        </w:rPr>
        <w:t xml:space="preserve">. Texas Education Agency.</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1482"/>
        <w:spacing w:val="30"/>
        <w:sz w:val="16"/>
        <w:szCs w:val="16"/>
      </w:rPr>
      <w:t xml:space="preserve">TENNEH C. FREEMAN</w:t>
    </w:r>
    <w:r>
      <w:rPr>
        <w:rFonts w:ascii="Calibri" w:cs="Calibri" w:eastAsia="Calibri" w:hAnsi="Calibri"/>
        <w:color w:val="521482"/>
        <w:spacing w:val="20"/>
        <w:sz w:val="16"/>
        <w:szCs w:val="16"/>
      </w:rPr>
      <w:t xml:space="preserve">   ·   LDTC 605   ·   UMGC   ·   JUNE 2026   ·   PAGE </w:t>
    </w:r>
    <w:r>
      <w:rPr>
        <w:rFonts w:ascii="Calibri" w:cs="Calibri" w:eastAsia="Calibri" w:hAnsi="Calibri"/>
        <w:color w:val="521482"/>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LDTC 605 Unit 3 Assignment — Course Type, Modality, and Reflection</dc:title>
  <dc:creator>Tenneh C. Freeman</dc:creator>
  <cp:lastModifiedBy>Un-named</cp:lastModifiedBy>
  <cp:revision>1</cp:revision>
  <dcterms:created xsi:type="dcterms:W3CDTF">2026-06-26T08:01:15.253Z</dcterms:created>
  <dcterms:modified xsi:type="dcterms:W3CDTF">2026-06-26T08:01:15.254Z</dcterms:modified>
</cp:coreProperties>
</file>

<file path=docProps/custom.xml><?xml version="1.0" encoding="utf-8"?>
<Properties xmlns="http://schemas.openxmlformats.org/officeDocument/2006/custom-properties" xmlns:vt="http://schemas.openxmlformats.org/officeDocument/2006/docPropsVTypes"/>
</file>